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32"/>
          <w:szCs w:val="32"/>
        </w:rPr>
      </w:pPr>
    </w:p>
    <w:p>
      <w:pPr>
        <w:spacing w:line="360" w:lineRule="auto"/>
        <w:jc w:val="center"/>
        <w:rPr>
          <w:rFonts w:hint="eastAsia" w:ascii="宋体" w:hAnsi="宋体" w:eastAsia="宋体" w:cs="宋体"/>
          <w:b/>
          <w:sz w:val="32"/>
          <w:szCs w:val="30"/>
        </w:rPr>
      </w:pPr>
    </w:p>
    <w:p>
      <w:pPr>
        <w:spacing w:line="360" w:lineRule="auto"/>
        <w:jc w:val="center"/>
        <w:rPr>
          <w:rFonts w:hint="eastAsia" w:ascii="宋体" w:hAnsi="宋体" w:eastAsia="宋体" w:cs="宋体"/>
          <w:b/>
          <w:sz w:val="48"/>
          <w:szCs w:val="48"/>
        </w:rPr>
      </w:pPr>
    </w:p>
    <w:p>
      <w:pPr>
        <w:spacing w:line="360" w:lineRule="auto"/>
        <w:jc w:val="center"/>
        <w:rPr>
          <w:rFonts w:hint="eastAsia" w:ascii="宋体" w:hAnsi="宋体" w:eastAsia="宋体" w:cs="宋体"/>
          <w:b/>
          <w:w w:val="150"/>
          <w:sz w:val="48"/>
          <w:szCs w:val="48"/>
        </w:rPr>
      </w:pPr>
      <w:r>
        <w:drawing>
          <wp:anchor distT="0" distB="0" distL="114300" distR="114300" simplePos="0" relativeHeight="251659264" behindDoc="1" locked="0" layoutInCell="1" allowOverlap="1">
            <wp:simplePos x="0" y="0"/>
            <wp:positionH relativeFrom="page">
              <wp:posOffset>-104775</wp:posOffset>
            </wp:positionH>
            <wp:positionV relativeFrom="paragraph">
              <wp:posOffset>-2118995</wp:posOffset>
            </wp:positionV>
            <wp:extent cx="7674610" cy="3157220"/>
            <wp:effectExtent l="0" t="0" r="6350" b="1270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6"/>
                    <a:srcRect b="58476"/>
                    <a:stretch>
                      <a:fillRect/>
                    </a:stretch>
                  </pic:blipFill>
                  <pic:spPr>
                    <a:xfrm>
                      <a:off x="0" y="0"/>
                      <a:ext cx="7674610" cy="3157220"/>
                    </a:xfrm>
                    <a:prstGeom prst="rect">
                      <a:avLst/>
                    </a:prstGeom>
                    <a:noFill/>
                    <a:ln>
                      <a:noFill/>
                    </a:ln>
                  </pic:spPr>
                </pic:pic>
              </a:graphicData>
            </a:graphic>
          </wp:anchor>
        </w:drawing>
      </w:r>
      <w:r>
        <w:drawing>
          <wp:anchor distT="0" distB="0" distL="114300" distR="114300" simplePos="0" relativeHeight="251660288" behindDoc="0" locked="0" layoutInCell="1" allowOverlap="1">
            <wp:simplePos x="0" y="0"/>
            <wp:positionH relativeFrom="page">
              <wp:posOffset>378460</wp:posOffset>
            </wp:positionH>
            <wp:positionV relativeFrom="paragraph">
              <wp:posOffset>-135890</wp:posOffset>
            </wp:positionV>
            <wp:extent cx="3459480" cy="813435"/>
            <wp:effectExtent l="0" t="0" r="0" b="952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7"/>
                    <a:stretch>
                      <a:fillRect/>
                    </a:stretch>
                  </pic:blipFill>
                  <pic:spPr>
                    <a:xfrm>
                      <a:off x="0" y="0"/>
                      <a:ext cx="3459480" cy="813435"/>
                    </a:xfrm>
                    <a:prstGeom prst="rect">
                      <a:avLst/>
                    </a:prstGeom>
                    <a:noFill/>
                    <a:ln>
                      <a:noFill/>
                    </a:ln>
                  </pic:spPr>
                </pic:pic>
              </a:graphicData>
            </a:graphic>
          </wp:anchor>
        </w:drawing>
      </w: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南方电网2025年第</w:t>
      </w:r>
      <w:r>
        <w:rPr>
          <w:rFonts w:hint="eastAsia" w:ascii="微软雅黑" w:hAnsi="微软雅黑" w:eastAsia="微软雅黑" w:cs="微软雅黑"/>
          <w:b w:val="0"/>
          <w:bCs/>
          <w:sz w:val="48"/>
          <w:szCs w:val="48"/>
          <w:lang w:val="en-US" w:eastAsia="zh-CN"/>
        </w:rPr>
        <w:t>四</w:t>
      </w:r>
      <w:r>
        <w:rPr>
          <w:rFonts w:hint="eastAsia" w:ascii="微软雅黑" w:hAnsi="微软雅黑" w:eastAsia="微软雅黑" w:cs="微软雅黑"/>
          <w:b w:val="0"/>
          <w:bCs/>
          <w:sz w:val="48"/>
          <w:szCs w:val="48"/>
        </w:rPr>
        <w:t>批无人机设备及相关附件框架采购项目</w:t>
      </w:r>
    </w:p>
    <w:p>
      <w:pPr>
        <w:spacing w:line="360" w:lineRule="auto"/>
        <w:jc w:val="center"/>
        <w:rPr>
          <w:rFonts w:hint="eastAsia" w:ascii="微软雅黑" w:hAnsi="微软雅黑" w:eastAsia="微软雅黑" w:cs="微软雅黑"/>
          <w:b w:val="0"/>
          <w:bCs/>
          <w:sz w:val="48"/>
          <w:szCs w:val="48"/>
          <w:lang w:eastAsia="zh-CN"/>
        </w:rPr>
      </w:pPr>
      <w:r>
        <w:rPr>
          <w:rFonts w:hint="eastAsia" w:ascii="微软雅黑" w:hAnsi="微软雅黑" w:eastAsia="微软雅黑" w:cs="微软雅黑"/>
          <w:b w:val="0"/>
          <w:bCs/>
          <w:sz w:val="48"/>
          <w:szCs w:val="48"/>
        </w:rPr>
        <w:t>技术</w:t>
      </w:r>
      <w:r>
        <w:rPr>
          <w:rFonts w:hint="eastAsia" w:ascii="微软雅黑" w:hAnsi="微软雅黑" w:eastAsia="微软雅黑" w:cs="微软雅黑"/>
          <w:b w:val="0"/>
          <w:bCs/>
          <w:sz w:val="48"/>
          <w:szCs w:val="48"/>
          <w:lang w:val="en-US" w:eastAsia="zh-CN"/>
        </w:rPr>
        <w:t>规范书</w:t>
      </w:r>
    </w:p>
    <w:p>
      <w:pPr>
        <w:spacing w:line="36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w:t>
      </w:r>
      <w:r>
        <w:rPr>
          <w:rFonts w:hint="eastAsia" w:ascii="微软雅黑" w:hAnsi="微软雅黑" w:eastAsia="微软雅黑" w:cs="微软雅黑"/>
          <w:b w:val="0"/>
          <w:bCs/>
          <w:sz w:val="48"/>
          <w:szCs w:val="48"/>
          <w:lang w:val="en-US" w:eastAsia="zh-CN"/>
        </w:rPr>
        <w:t>紧凑型无人机机巢E</w:t>
      </w:r>
      <w:r>
        <w:rPr>
          <w:rFonts w:hint="eastAsia" w:ascii="微软雅黑" w:hAnsi="微软雅黑" w:eastAsia="微软雅黑" w:cs="微软雅黑"/>
          <w:b w:val="0"/>
          <w:bCs/>
          <w:sz w:val="48"/>
          <w:szCs w:val="48"/>
        </w:rPr>
        <w:t>及相关附件(无人机机巢)）</w:t>
      </w:r>
    </w:p>
    <w:p>
      <w:pPr>
        <w:spacing w:line="360" w:lineRule="auto"/>
        <w:jc w:val="center"/>
        <w:rPr>
          <w:rFonts w:hint="eastAsia" w:ascii="宋体" w:hAnsi="宋体" w:eastAsia="宋体" w:cs="宋体"/>
          <w:b/>
          <w:sz w:val="30"/>
          <w:szCs w:val="30"/>
        </w:rPr>
      </w:pPr>
    </w:p>
    <w:p>
      <w:pPr>
        <w:spacing w:line="360" w:lineRule="auto"/>
        <w:jc w:val="both"/>
        <w:rPr>
          <w:rFonts w:hint="eastAsia" w:ascii="宋体" w:hAnsi="宋体" w:eastAsia="宋体" w:cs="宋体"/>
          <w:b/>
          <w:sz w:val="30"/>
          <w:szCs w:val="30"/>
        </w:rPr>
      </w:pPr>
    </w:p>
    <w:p>
      <w:pPr>
        <w:spacing w:line="360" w:lineRule="auto"/>
        <w:jc w:val="both"/>
        <w:rPr>
          <w:rFonts w:hint="eastAsia" w:ascii="宋体" w:hAnsi="宋体" w:eastAsia="宋体" w:cs="宋体"/>
          <w:b/>
          <w:sz w:val="30"/>
          <w:szCs w:val="30"/>
        </w:rPr>
      </w:pPr>
    </w:p>
    <w:p>
      <w:pPr>
        <w:pStyle w:val="12"/>
        <w:ind w:firstLine="0" w:firstLineChars="0"/>
        <w:jc w:val="center"/>
        <w:rPr>
          <w:rFonts w:hint="eastAsia" w:ascii="宋体" w:hAnsi="宋体" w:eastAsia="宋体" w:cs="宋体"/>
          <w:sz w:val="36"/>
          <w:szCs w:val="36"/>
        </w:rPr>
      </w:pP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rPr>
      </w:pPr>
    </w:p>
    <w:p>
      <w:pPr>
        <w:widowControl/>
        <w:jc w:val="center"/>
        <w:rPr>
          <w:rFonts w:hint="eastAsia" w:ascii="宋体" w:hAnsi="宋体" w:eastAsia="宋体" w:cs="宋体"/>
          <w:sz w:val="36"/>
          <w:szCs w:val="36"/>
        </w:rPr>
      </w:pPr>
      <w:r>
        <w:rPr>
          <w:rFonts w:hint="eastAsia" w:ascii="宋体" w:hAnsi="宋体" w:eastAsia="宋体" w:cs="宋体"/>
          <w:sz w:val="32"/>
          <w:szCs w:val="32"/>
        </w:rPr>
        <w:t>202</w:t>
      </w:r>
      <w:r>
        <w:rPr>
          <w:rFonts w:hint="eastAsia" w:ascii="宋体" w:hAnsi="宋体" w:eastAsia="宋体" w:cs="宋体"/>
          <w:sz w:val="32"/>
          <w:szCs w:val="32"/>
          <w:lang w:val="en-US" w:eastAsia="zh-CN"/>
        </w:rPr>
        <w:t>5</w:t>
      </w:r>
      <w:r>
        <w:rPr>
          <w:rFonts w:hint="eastAsia" w:ascii="宋体" w:hAnsi="宋体" w:eastAsia="宋体" w:cs="宋体"/>
          <w:sz w:val="32"/>
          <w:szCs w:val="32"/>
        </w:rPr>
        <w:t>年</w:t>
      </w:r>
      <w:r>
        <w:rPr>
          <w:rFonts w:hint="eastAsia" w:ascii="宋体" w:hAnsi="宋体" w:cs="宋体"/>
          <w:sz w:val="32"/>
          <w:szCs w:val="32"/>
          <w:lang w:val="en-US" w:eastAsia="zh-CN"/>
        </w:rPr>
        <w:t>11</w:t>
      </w:r>
      <w:r>
        <w:rPr>
          <w:rFonts w:hint="eastAsia" w:ascii="宋体" w:hAnsi="宋体" w:eastAsia="宋体" w:cs="宋体"/>
          <w:sz w:val="32"/>
          <w:szCs w:val="32"/>
        </w:rPr>
        <w:t>月</w:t>
      </w:r>
    </w:p>
    <w:p>
      <w:pPr>
        <w:pStyle w:val="12"/>
        <w:spacing w:line="360" w:lineRule="auto"/>
        <w:ind w:firstLine="0" w:firstLineChars="0"/>
        <w:jc w:val="center"/>
        <w:rPr>
          <w:rFonts w:hint="eastAsia" w:ascii="宋体" w:hAnsi="宋体" w:eastAsia="宋体" w:cs="宋体"/>
          <w:kern w:val="2"/>
          <w:sz w:val="36"/>
          <w:szCs w:val="36"/>
          <w:lang w:eastAsia="zh-CN"/>
        </w:rPr>
      </w:pPr>
      <w:r>
        <w:rPr>
          <w:rFonts w:hint="eastAsia" w:ascii="宋体" w:hAnsi="宋体" w:eastAsia="宋体" w:cs="宋体"/>
          <w:kern w:val="2"/>
          <w:sz w:val="36"/>
          <w:szCs w:val="36"/>
        </w:rPr>
        <w:t>目录</w:t>
      </w:r>
    </w:p>
    <w:p>
      <w:pPr>
        <w:pStyle w:val="12"/>
        <w:spacing w:line="360" w:lineRule="auto"/>
        <w:ind w:firstLine="0" w:firstLineChars="0"/>
        <w:jc w:val="center"/>
        <w:rPr>
          <w:rFonts w:hint="eastAsia" w:ascii="宋体" w:hAnsi="宋体" w:eastAsia="宋体" w:cs="宋体"/>
          <w:kern w:val="2"/>
          <w:sz w:val="36"/>
          <w:szCs w:val="36"/>
        </w:rPr>
      </w:pPr>
    </w:p>
    <w:p>
      <w:pPr>
        <w:pStyle w:val="9"/>
        <w:tabs>
          <w:tab w:val="right" w:leader="dot" w:pos="8312"/>
        </w:tabs>
      </w:pPr>
      <w:r>
        <w:rPr>
          <w:rFonts w:hint="eastAsia" w:ascii="宋体" w:hAnsi="宋体" w:eastAsia="宋体" w:cs="宋体"/>
          <w:sz w:val="36"/>
          <w:szCs w:val="36"/>
        </w:rPr>
        <w:fldChar w:fldCharType="begin"/>
      </w:r>
      <w:r>
        <w:rPr>
          <w:rFonts w:hint="eastAsia" w:ascii="宋体" w:hAnsi="宋体" w:eastAsia="宋体" w:cs="宋体"/>
          <w:sz w:val="36"/>
          <w:szCs w:val="36"/>
        </w:rPr>
        <w:instrText xml:space="preserve">TOC \o "1-2" \h \z \u</w:instrText>
      </w:r>
      <w:r>
        <w:rPr>
          <w:rFonts w:hint="eastAsia" w:ascii="宋体" w:hAnsi="宋体" w:eastAsia="宋体" w:cs="宋体"/>
          <w:sz w:val="36"/>
          <w:szCs w:val="36"/>
        </w:rPr>
        <w:fldChar w:fldCharType="separate"/>
      </w: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_Toc1336 </w:instrText>
      </w:r>
      <w:r>
        <w:rPr>
          <w:rFonts w:hint="eastAsia" w:ascii="宋体" w:hAnsi="宋体" w:eastAsia="宋体" w:cs="宋体"/>
          <w:kern w:val="2"/>
          <w:szCs w:val="36"/>
        </w:rPr>
        <w:fldChar w:fldCharType="separate"/>
      </w:r>
      <w:r>
        <w:rPr>
          <w:rFonts w:hint="eastAsia" w:ascii="宋体" w:hAnsi="宋体" w:eastAsia="宋体" w:cs="宋体"/>
        </w:rPr>
        <w:t>1 一般规定</w:t>
      </w:r>
      <w:r>
        <w:tab/>
      </w:r>
      <w:r>
        <w:fldChar w:fldCharType="begin"/>
      </w:r>
      <w:r>
        <w:instrText xml:space="preserve"> PAGEREF _Toc1336 \h </w:instrText>
      </w:r>
      <w:r>
        <w:fldChar w:fldCharType="separate"/>
      </w:r>
      <w:r>
        <w:t>1</w:t>
      </w:r>
      <w:r>
        <w:fldChar w:fldCharType="end"/>
      </w:r>
      <w:r>
        <w:rPr>
          <w:rFonts w:hint="eastAsia" w:ascii="宋体" w:hAnsi="宋体" w:eastAsia="宋体" w:cs="宋体"/>
          <w:kern w:val="2"/>
          <w:szCs w:val="36"/>
        </w:rPr>
        <w:fldChar w:fldCharType="end"/>
      </w:r>
    </w:p>
    <w:p>
      <w:pPr>
        <w:pStyle w:val="9"/>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_Toc12739 </w:instrText>
      </w:r>
      <w:r>
        <w:rPr>
          <w:rFonts w:hint="eastAsia" w:ascii="宋体" w:hAnsi="宋体" w:eastAsia="宋体" w:cs="宋体"/>
          <w:kern w:val="2"/>
          <w:szCs w:val="36"/>
        </w:rPr>
        <w:fldChar w:fldCharType="separate"/>
      </w:r>
      <w:r>
        <w:rPr>
          <w:rFonts w:hint="eastAsia" w:ascii="宋体" w:hAnsi="宋体" w:eastAsia="宋体" w:cs="宋体"/>
        </w:rPr>
        <w:t>2技术文件的组成</w:t>
      </w:r>
      <w:r>
        <w:tab/>
      </w:r>
      <w:r>
        <w:fldChar w:fldCharType="begin"/>
      </w:r>
      <w:r>
        <w:instrText xml:space="preserve"> PAGEREF _Toc12739 \h </w:instrText>
      </w:r>
      <w:r>
        <w:fldChar w:fldCharType="separate"/>
      </w:r>
      <w:r>
        <w:t>1</w:t>
      </w:r>
      <w:r>
        <w:fldChar w:fldCharType="end"/>
      </w:r>
      <w:r>
        <w:rPr>
          <w:rFonts w:hint="eastAsia" w:ascii="宋体" w:hAnsi="宋体" w:eastAsia="宋体" w:cs="宋体"/>
          <w:kern w:val="2"/>
          <w:szCs w:val="36"/>
        </w:rPr>
        <w:fldChar w:fldCharType="end"/>
      </w:r>
    </w:p>
    <w:p>
      <w:pPr>
        <w:pStyle w:val="9"/>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_Toc13259 </w:instrText>
      </w:r>
      <w:r>
        <w:rPr>
          <w:rFonts w:hint="eastAsia" w:ascii="宋体" w:hAnsi="宋体" w:eastAsia="宋体" w:cs="宋体"/>
          <w:kern w:val="2"/>
          <w:szCs w:val="36"/>
        </w:rPr>
        <w:fldChar w:fldCharType="separate"/>
      </w:r>
      <w:r>
        <w:rPr>
          <w:rFonts w:hint="eastAsia" w:ascii="宋体" w:hAnsi="宋体" w:eastAsia="宋体" w:cs="宋体"/>
        </w:rPr>
        <w:t>3 应遵循的标准</w:t>
      </w:r>
      <w:r>
        <w:tab/>
      </w:r>
      <w:r>
        <w:fldChar w:fldCharType="begin"/>
      </w:r>
      <w:r>
        <w:instrText xml:space="preserve"> PAGEREF _Toc13259 \h </w:instrText>
      </w:r>
      <w:r>
        <w:fldChar w:fldCharType="separate"/>
      </w:r>
      <w:r>
        <w:t>2</w:t>
      </w:r>
      <w:r>
        <w:fldChar w:fldCharType="end"/>
      </w:r>
      <w:r>
        <w:rPr>
          <w:rFonts w:hint="eastAsia" w:ascii="宋体" w:hAnsi="宋体" w:eastAsia="宋体" w:cs="宋体"/>
          <w:kern w:val="2"/>
          <w:szCs w:val="36"/>
        </w:rPr>
        <w:fldChar w:fldCharType="end"/>
      </w:r>
    </w:p>
    <w:p>
      <w:pPr>
        <w:pStyle w:val="9"/>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_Toc1964 </w:instrText>
      </w:r>
      <w:r>
        <w:rPr>
          <w:rFonts w:hint="eastAsia" w:ascii="宋体" w:hAnsi="宋体" w:eastAsia="宋体" w:cs="宋体"/>
          <w:kern w:val="2"/>
          <w:szCs w:val="36"/>
        </w:rPr>
        <w:fldChar w:fldCharType="separate"/>
      </w:r>
      <w:r>
        <w:rPr>
          <w:rFonts w:hint="eastAsia" w:ascii="宋体" w:hAnsi="宋体" w:eastAsia="宋体" w:cs="宋体"/>
        </w:rPr>
        <w:t>4 使用条件</w:t>
      </w:r>
      <w:r>
        <w:tab/>
      </w:r>
      <w:r>
        <w:fldChar w:fldCharType="begin"/>
      </w:r>
      <w:r>
        <w:instrText xml:space="preserve"> PAGEREF _Toc1964 \h </w:instrText>
      </w:r>
      <w:r>
        <w:fldChar w:fldCharType="separate"/>
      </w:r>
      <w:r>
        <w:t>2</w:t>
      </w:r>
      <w:r>
        <w:fldChar w:fldCharType="end"/>
      </w:r>
      <w:r>
        <w:rPr>
          <w:rFonts w:hint="eastAsia" w:ascii="宋体" w:hAnsi="宋体" w:eastAsia="宋体" w:cs="宋体"/>
          <w:kern w:val="2"/>
          <w:szCs w:val="36"/>
        </w:rPr>
        <w:fldChar w:fldCharType="end"/>
      </w:r>
    </w:p>
    <w:p>
      <w:pPr>
        <w:pStyle w:val="9"/>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_Toc27469 </w:instrText>
      </w:r>
      <w:r>
        <w:rPr>
          <w:rFonts w:hint="eastAsia" w:ascii="宋体" w:hAnsi="宋体" w:eastAsia="宋体" w:cs="宋体"/>
          <w:kern w:val="2"/>
          <w:szCs w:val="36"/>
        </w:rPr>
        <w:fldChar w:fldCharType="separate"/>
      </w:r>
      <w:r>
        <w:rPr>
          <w:rFonts w:hint="eastAsia" w:ascii="宋体" w:hAnsi="宋体" w:eastAsia="宋体" w:cs="宋体"/>
          <w:lang w:val="en-US" w:eastAsia="zh-CN"/>
        </w:rPr>
        <w:t>5</w:t>
      </w:r>
      <w:r>
        <w:rPr>
          <w:rFonts w:hint="eastAsia" w:ascii="宋体" w:hAnsi="宋体" w:eastAsia="宋体" w:cs="宋体"/>
        </w:rPr>
        <w:t>技术要求</w:t>
      </w:r>
      <w:r>
        <w:tab/>
      </w:r>
      <w:r>
        <w:fldChar w:fldCharType="begin"/>
      </w:r>
      <w:r>
        <w:instrText xml:space="preserve"> PAGEREF _Toc27469 \h </w:instrText>
      </w:r>
      <w:r>
        <w:fldChar w:fldCharType="separate"/>
      </w:r>
      <w:r>
        <w:t>3</w:t>
      </w:r>
      <w:r>
        <w:fldChar w:fldCharType="end"/>
      </w:r>
      <w:r>
        <w:rPr>
          <w:rFonts w:hint="eastAsia" w:ascii="宋体" w:hAnsi="宋体" w:eastAsia="宋体" w:cs="宋体"/>
          <w:kern w:val="2"/>
          <w:szCs w:val="36"/>
        </w:rPr>
        <w:fldChar w:fldCharType="end"/>
      </w:r>
    </w:p>
    <w:p>
      <w:pPr>
        <w:pStyle w:val="9"/>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_Toc6928 </w:instrText>
      </w:r>
      <w:r>
        <w:rPr>
          <w:rFonts w:hint="eastAsia" w:ascii="宋体" w:hAnsi="宋体" w:eastAsia="宋体" w:cs="宋体"/>
          <w:kern w:val="2"/>
          <w:szCs w:val="36"/>
        </w:rPr>
        <w:fldChar w:fldCharType="separate"/>
      </w:r>
      <w:r>
        <w:rPr>
          <w:rFonts w:hint="eastAsia" w:ascii="宋体" w:hAnsi="宋体" w:eastAsia="宋体" w:cs="宋体"/>
          <w:lang w:val="en-US" w:eastAsia="zh-CN"/>
        </w:rPr>
        <w:t>6</w:t>
      </w:r>
      <w:r>
        <w:rPr>
          <w:rFonts w:hint="eastAsia" w:ascii="宋体" w:hAnsi="宋体" w:eastAsia="宋体" w:cs="宋体"/>
        </w:rPr>
        <w:t>包装和运输</w:t>
      </w:r>
      <w:r>
        <w:tab/>
      </w:r>
      <w:r>
        <w:fldChar w:fldCharType="begin"/>
      </w:r>
      <w:r>
        <w:instrText xml:space="preserve"> PAGEREF _Toc6928 \h </w:instrText>
      </w:r>
      <w:r>
        <w:fldChar w:fldCharType="separate"/>
      </w:r>
      <w:r>
        <w:t>9</w:t>
      </w:r>
      <w:r>
        <w:fldChar w:fldCharType="end"/>
      </w:r>
      <w:r>
        <w:rPr>
          <w:rFonts w:hint="eastAsia" w:ascii="宋体" w:hAnsi="宋体" w:eastAsia="宋体" w:cs="宋体"/>
          <w:kern w:val="2"/>
          <w:szCs w:val="36"/>
        </w:rPr>
        <w:fldChar w:fldCharType="end"/>
      </w:r>
    </w:p>
    <w:p>
      <w:pPr>
        <w:pStyle w:val="9"/>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_Toc21123 </w:instrText>
      </w:r>
      <w:r>
        <w:rPr>
          <w:rFonts w:hint="eastAsia" w:ascii="宋体" w:hAnsi="宋体" w:eastAsia="宋体" w:cs="宋体"/>
          <w:kern w:val="2"/>
          <w:szCs w:val="36"/>
        </w:rPr>
        <w:fldChar w:fldCharType="separate"/>
      </w:r>
      <w:r>
        <w:rPr>
          <w:rFonts w:hint="eastAsia" w:ascii="宋体" w:hAnsi="宋体" w:eastAsia="宋体" w:cs="宋体"/>
          <w:lang w:val="en-US" w:eastAsia="zh-CN"/>
        </w:rPr>
        <w:t>7</w:t>
      </w:r>
      <w:r>
        <w:rPr>
          <w:rFonts w:hint="eastAsia" w:ascii="宋体" w:hAnsi="宋体" w:eastAsia="宋体" w:cs="宋体"/>
        </w:rPr>
        <w:t>技术服务</w:t>
      </w:r>
      <w:r>
        <w:tab/>
      </w:r>
      <w:r>
        <w:fldChar w:fldCharType="begin"/>
      </w:r>
      <w:r>
        <w:instrText xml:space="preserve"> PAGEREF _Toc21123 \h </w:instrText>
      </w:r>
      <w:r>
        <w:fldChar w:fldCharType="separate"/>
      </w:r>
      <w:r>
        <w:t>9</w:t>
      </w:r>
      <w:r>
        <w:fldChar w:fldCharType="end"/>
      </w:r>
      <w:r>
        <w:rPr>
          <w:rFonts w:hint="eastAsia" w:ascii="宋体" w:hAnsi="宋体" w:eastAsia="宋体" w:cs="宋体"/>
          <w:kern w:val="2"/>
          <w:szCs w:val="36"/>
        </w:rPr>
        <w:fldChar w:fldCharType="end"/>
      </w:r>
    </w:p>
    <w:p>
      <w:pPr>
        <w:pStyle w:val="9"/>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_Toc5088 </w:instrText>
      </w:r>
      <w:r>
        <w:rPr>
          <w:rFonts w:hint="eastAsia" w:ascii="宋体" w:hAnsi="宋体" w:eastAsia="宋体" w:cs="宋体"/>
          <w:kern w:val="2"/>
          <w:szCs w:val="36"/>
        </w:rPr>
        <w:fldChar w:fldCharType="separate"/>
      </w:r>
      <w:r>
        <w:rPr>
          <w:rFonts w:hint="eastAsia" w:ascii="宋体" w:hAnsi="宋体" w:eastAsia="宋体" w:cs="宋体"/>
          <w:lang w:val="en-US" w:eastAsia="zh-CN"/>
        </w:rPr>
        <w:t>8</w:t>
      </w:r>
      <w:r>
        <w:rPr>
          <w:rFonts w:hint="eastAsia" w:ascii="宋体" w:hAnsi="宋体" w:eastAsia="宋体" w:cs="宋体"/>
        </w:rPr>
        <w:t>质量保证和试验</w:t>
      </w:r>
      <w:bookmarkStart w:id="45" w:name="_GoBack"/>
      <w:bookmarkEnd w:id="45"/>
      <w:r>
        <w:tab/>
      </w:r>
      <w:r>
        <w:fldChar w:fldCharType="begin"/>
      </w:r>
      <w:r>
        <w:instrText xml:space="preserve"> PAGEREF _Toc5088 \h </w:instrText>
      </w:r>
      <w:r>
        <w:fldChar w:fldCharType="separate"/>
      </w:r>
      <w:r>
        <w:t>10</w:t>
      </w:r>
      <w:r>
        <w:fldChar w:fldCharType="end"/>
      </w:r>
      <w:r>
        <w:rPr>
          <w:rFonts w:hint="eastAsia" w:ascii="宋体" w:hAnsi="宋体" w:eastAsia="宋体" w:cs="宋体"/>
          <w:kern w:val="2"/>
          <w:szCs w:val="36"/>
        </w:rPr>
        <w:fldChar w:fldCharType="end"/>
      </w:r>
    </w:p>
    <w:p>
      <w:pPr>
        <w:pStyle w:val="9"/>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_Toc9435 </w:instrText>
      </w:r>
      <w:r>
        <w:rPr>
          <w:rFonts w:hint="eastAsia" w:ascii="宋体" w:hAnsi="宋体" w:eastAsia="宋体" w:cs="宋体"/>
          <w:kern w:val="2"/>
          <w:szCs w:val="36"/>
        </w:rPr>
        <w:fldChar w:fldCharType="separate"/>
      </w:r>
      <w:r>
        <w:rPr>
          <w:rFonts w:hint="eastAsia" w:ascii="宋体" w:hAnsi="宋体" w:eastAsia="宋体" w:cs="宋体"/>
          <w:lang w:val="en-US" w:eastAsia="zh-CN"/>
        </w:rPr>
        <w:t>9</w:t>
      </w:r>
      <w:r>
        <w:rPr>
          <w:rFonts w:hint="eastAsia" w:ascii="宋体" w:hAnsi="宋体" w:eastAsia="宋体" w:cs="宋体"/>
        </w:rPr>
        <w:t>设备验收</w:t>
      </w:r>
      <w:r>
        <w:tab/>
      </w:r>
      <w:r>
        <w:fldChar w:fldCharType="begin"/>
      </w:r>
      <w:r>
        <w:instrText xml:space="preserve"> PAGEREF _Toc9435 \h </w:instrText>
      </w:r>
      <w:r>
        <w:fldChar w:fldCharType="separate"/>
      </w:r>
      <w:r>
        <w:t>10</w:t>
      </w:r>
      <w:r>
        <w:fldChar w:fldCharType="end"/>
      </w:r>
      <w:r>
        <w:rPr>
          <w:rFonts w:hint="eastAsia" w:ascii="宋体" w:hAnsi="宋体" w:eastAsia="宋体" w:cs="宋体"/>
          <w:kern w:val="2"/>
          <w:szCs w:val="36"/>
        </w:rPr>
        <w:fldChar w:fldCharType="end"/>
      </w:r>
    </w:p>
    <w:p>
      <w:pPr>
        <w:pStyle w:val="9"/>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_Toc27437 </w:instrText>
      </w:r>
      <w:r>
        <w:rPr>
          <w:rFonts w:hint="eastAsia" w:ascii="宋体" w:hAnsi="宋体" w:eastAsia="宋体" w:cs="宋体"/>
          <w:kern w:val="2"/>
          <w:szCs w:val="36"/>
        </w:rPr>
        <w:fldChar w:fldCharType="separate"/>
      </w:r>
      <w:r>
        <w:rPr>
          <w:rFonts w:hint="eastAsia" w:ascii="宋体" w:hAnsi="宋体" w:eastAsia="宋体" w:cs="宋体"/>
          <w:bCs w:val="0"/>
          <w:lang w:val="en-US" w:eastAsia="zh-CN"/>
        </w:rPr>
        <w:t>附录1</w:t>
      </w:r>
      <w:r>
        <w:rPr>
          <w:rFonts w:hint="eastAsia" w:ascii="宋体" w:hAnsi="宋体" w:eastAsia="宋体" w:cs="宋体"/>
          <w:bCs w:val="0"/>
        </w:rPr>
        <w:t>供货范围</w:t>
      </w:r>
      <w:r>
        <w:tab/>
      </w:r>
      <w:r>
        <w:fldChar w:fldCharType="begin"/>
      </w:r>
      <w:r>
        <w:instrText xml:space="preserve"> PAGEREF _Toc27437 \h </w:instrText>
      </w:r>
      <w:r>
        <w:fldChar w:fldCharType="separate"/>
      </w:r>
      <w:r>
        <w:t>10</w:t>
      </w:r>
      <w:r>
        <w:fldChar w:fldCharType="end"/>
      </w:r>
      <w:r>
        <w:rPr>
          <w:rFonts w:hint="eastAsia" w:ascii="宋体" w:hAnsi="宋体" w:eastAsia="宋体" w:cs="宋体"/>
          <w:kern w:val="2"/>
          <w:szCs w:val="36"/>
        </w:rPr>
        <w:fldChar w:fldCharType="end"/>
      </w:r>
    </w:p>
    <w:p>
      <w:pPr>
        <w:pStyle w:val="9"/>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_Toc64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附录2</w:t>
      </w:r>
      <w:r>
        <w:rPr>
          <w:rFonts w:hint="eastAsia" w:ascii="宋体" w:hAnsi="宋体" w:eastAsia="宋体" w:cs="宋体"/>
        </w:rPr>
        <w:t>技术差异汇总</w:t>
      </w:r>
      <w:r>
        <w:tab/>
      </w:r>
      <w:r>
        <w:fldChar w:fldCharType="begin"/>
      </w:r>
      <w:r>
        <w:instrText xml:space="preserve"> PAGEREF _Toc64 \h </w:instrText>
      </w:r>
      <w:r>
        <w:fldChar w:fldCharType="separate"/>
      </w:r>
      <w:r>
        <w:t>12</w:t>
      </w:r>
      <w:r>
        <w:fldChar w:fldCharType="end"/>
      </w:r>
      <w:r>
        <w:rPr>
          <w:rFonts w:hint="eastAsia" w:ascii="宋体" w:hAnsi="宋体" w:eastAsia="宋体" w:cs="宋体"/>
          <w:kern w:val="2"/>
          <w:szCs w:val="36"/>
        </w:rPr>
        <w:fldChar w:fldCharType="end"/>
      </w:r>
    </w:p>
    <w:p>
      <w:pPr>
        <w:pStyle w:val="9"/>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_Toc6112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附录3</w:t>
      </w:r>
      <w:r>
        <w:rPr>
          <w:rFonts w:hint="eastAsia" w:ascii="宋体" w:hAnsi="宋体" w:eastAsia="宋体" w:cs="宋体"/>
        </w:rPr>
        <w:t>主要元器件来源</w:t>
      </w:r>
      <w:r>
        <w:tab/>
      </w:r>
      <w:r>
        <w:fldChar w:fldCharType="begin"/>
      </w:r>
      <w:r>
        <w:instrText xml:space="preserve"> PAGEREF _Toc6112 \h </w:instrText>
      </w:r>
      <w:r>
        <w:fldChar w:fldCharType="separate"/>
      </w:r>
      <w:r>
        <w:t>13</w:t>
      </w:r>
      <w:r>
        <w:fldChar w:fldCharType="end"/>
      </w:r>
      <w:r>
        <w:rPr>
          <w:rFonts w:hint="eastAsia" w:ascii="宋体" w:hAnsi="宋体" w:eastAsia="宋体" w:cs="宋体"/>
          <w:kern w:val="2"/>
          <w:szCs w:val="36"/>
        </w:rPr>
        <w:fldChar w:fldCharType="end"/>
      </w:r>
    </w:p>
    <w:p>
      <w:pPr>
        <w:pStyle w:val="9"/>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_Toc31460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附录4</w:t>
      </w:r>
      <w:r>
        <w:rPr>
          <w:rFonts w:hint="eastAsia" w:ascii="宋体" w:hAnsi="宋体" w:eastAsia="宋体" w:cs="宋体"/>
        </w:rPr>
        <w:t xml:space="preserve"> 备品备件、专用工具和仪器仪表供货表</w:t>
      </w:r>
      <w:r>
        <w:tab/>
      </w:r>
      <w:r>
        <w:fldChar w:fldCharType="begin"/>
      </w:r>
      <w:r>
        <w:instrText xml:space="preserve"> PAGEREF _Toc31460 \h </w:instrText>
      </w:r>
      <w:r>
        <w:fldChar w:fldCharType="separate"/>
      </w:r>
      <w:r>
        <w:t>13</w:t>
      </w:r>
      <w:r>
        <w:fldChar w:fldCharType="end"/>
      </w:r>
      <w:r>
        <w:rPr>
          <w:rFonts w:hint="eastAsia" w:ascii="宋体" w:hAnsi="宋体" w:eastAsia="宋体" w:cs="宋体"/>
          <w:kern w:val="2"/>
          <w:szCs w:val="36"/>
        </w:rPr>
        <w:fldChar w:fldCharType="end"/>
      </w:r>
    </w:p>
    <w:p>
      <w:pPr>
        <w:pStyle w:val="12"/>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Cs w:val="36"/>
        </w:rPr>
        <w:fldChar w:fldCharType="end"/>
      </w:r>
    </w:p>
    <w:p>
      <w:pPr>
        <w:pStyle w:val="12"/>
        <w:spacing w:line="360" w:lineRule="auto"/>
        <w:ind w:firstLine="0" w:firstLineChars="0"/>
        <w:jc w:val="center"/>
        <w:rPr>
          <w:rFonts w:hint="eastAsia" w:ascii="宋体" w:hAnsi="宋体" w:eastAsia="宋体" w:cs="宋体"/>
        </w:rPr>
        <w:sectPr>
          <w:footerReference r:id="rId3" w:type="default"/>
          <w:pgSz w:w="11906" w:h="16838"/>
          <w:pgMar w:top="1440" w:right="1797" w:bottom="1440" w:left="1797" w:header="851" w:footer="992" w:gutter="0"/>
          <w:pgNumType w:start="1"/>
          <w:cols w:space="425" w:num="1"/>
          <w:docGrid w:type="lines" w:linePitch="312" w:charSpace="0"/>
        </w:sectPr>
      </w:pPr>
      <w:bookmarkStart w:id="0" w:name="_Toc300067963"/>
    </w:p>
    <w:p>
      <w:pPr>
        <w:pStyle w:val="4"/>
        <w:rPr>
          <w:rFonts w:hint="eastAsia" w:ascii="宋体" w:hAnsi="宋体" w:eastAsia="宋体" w:cs="宋体"/>
          <w:sz w:val="21"/>
        </w:rPr>
      </w:pPr>
      <w:bookmarkStart w:id="1" w:name="_Toc9020"/>
      <w:bookmarkStart w:id="2" w:name="_Toc7140"/>
      <w:bookmarkStart w:id="3" w:name="_Toc1336"/>
      <w:r>
        <w:rPr>
          <w:rFonts w:hint="eastAsia" w:ascii="宋体" w:hAnsi="宋体" w:eastAsia="宋体" w:cs="宋体"/>
          <w:sz w:val="21"/>
        </w:rPr>
        <w:t>1 一般规定</w:t>
      </w:r>
      <w:bookmarkEnd w:id="0"/>
      <w:bookmarkEnd w:id="1"/>
      <w:bookmarkEnd w:id="2"/>
      <w:bookmarkEnd w:id="3"/>
    </w:p>
    <w:p>
      <w:pPr>
        <w:spacing w:line="360" w:lineRule="auto"/>
        <w:rPr>
          <w:rFonts w:hint="eastAsia" w:ascii="宋体" w:hAnsi="宋体" w:eastAsia="宋体" w:cs="宋体"/>
          <w:szCs w:val="24"/>
        </w:rPr>
      </w:pPr>
      <w:r>
        <w:rPr>
          <w:rFonts w:hint="eastAsia" w:ascii="宋体" w:hAnsi="宋体" w:eastAsia="宋体" w:cs="宋体"/>
          <w:szCs w:val="24"/>
        </w:rPr>
        <w:t>1.1 本技术条件书适用于南方电网2025年第</w:t>
      </w:r>
      <w:r>
        <w:rPr>
          <w:rFonts w:hint="eastAsia" w:ascii="宋体" w:hAnsi="宋体" w:cs="宋体"/>
          <w:szCs w:val="24"/>
          <w:lang w:val="en-US" w:eastAsia="zh-CN"/>
        </w:rPr>
        <w:t>四</w:t>
      </w:r>
      <w:r>
        <w:rPr>
          <w:rFonts w:hint="eastAsia" w:ascii="宋体" w:hAnsi="宋体" w:eastAsia="宋体" w:cs="宋体"/>
          <w:szCs w:val="24"/>
        </w:rPr>
        <w:t>批无人机设备及相关附件框架采购项目</w:t>
      </w:r>
      <w:r>
        <w:rPr>
          <w:rFonts w:hint="eastAsia" w:ascii="宋体" w:hAnsi="宋体" w:cs="宋体"/>
          <w:szCs w:val="24"/>
          <w:lang w:val="en-US" w:eastAsia="zh-CN"/>
        </w:rPr>
        <w:t>紧凑型无人机机巢E及相关附件</w:t>
      </w:r>
      <w:r>
        <w:rPr>
          <w:rFonts w:hint="eastAsia" w:ascii="宋体" w:hAnsi="宋体" w:eastAsia="宋体" w:cs="宋体"/>
          <w:szCs w:val="24"/>
          <w:lang w:val="en-US" w:eastAsia="zh-CN"/>
        </w:rPr>
        <w:t xml:space="preserve">(无人机机巢) </w:t>
      </w:r>
      <w:r>
        <w:rPr>
          <w:rFonts w:hint="eastAsia" w:ascii="宋体" w:hAnsi="宋体" w:eastAsia="宋体" w:cs="宋体"/>
          <w:szCs w:val="24"/>
        </w:rPr>
        <w:t>，该设备需满足本文所要求条件。</w:t>
      </w:r>
    </w:p>
    <w:p>
      <w:pPr>
        <w:spacing w:line="360" w:lineRule="auto"/>
        <w:rPr>
          <w:rFonts w:hint="eastAsia" w:ascii="宋体" w:hAnsi="宋体" w:eastAsia="宋体" w:cs="宋体"/>
          <w:szCs w:val="24"/>
        </w:rPr>
      </w:pPr>
      <w:r>
        <w:rPr>
          <w:rFonts w:hint="eastAsia" w:ascii="宋体" w:hAnsi="宋体" w:eastAsia="宋体" w:cs="宋体"/>
          <w:szCs w:val="24"/>
        </w:rPr>
        <w:t>1.2 本次招标设备</w:t>
      </w:r>
      <w:r>
        <w:rPr>
          <w:rFonts w:hint="eastAsia" w:ascii="宋体" w:hAnsi="宋体" w:cs="宋体"/>
          <w:szCs w:val="24"/>
          <w:lang w:val="en-US" w:eastAsia="zh-CN"/>
        </w:rPr>
        <w:t>紧凑型无人机机巢E及相关附件</w:t>
      </w:r>
      <w:r>
        <w:rPr>
          <w:rFonts w:hint="eastAsia" w:ascii="宋体" w:hAnsi="宋体" w:eastAsia="宋体" w:cs="宋体"/>
          <w:szCs w:val="24"/>
          <w:lang w:val="en-US" w:eastAsia="zh-CN"/>
        </w:rPr>
        <w:t xml:space="preserve">(无人机机巢) </w:t>
      </w:r>
      <w:r>
        <w:rPr>
          <w:rFonts w:hint="eastAsia" w:ascii="宋体" w:hAnsi="宋体" w:eastAsia="宋体" w:cs="宋体"/>
          <w:szCs w:val="24"/>
        </w:rPr>
        <w:t>，投标人投标设备必须是成熟完整的成套产品，且使用记录良好。</w:t>
      </w:r>
    </w:p>
    <w:p>
      <w:pPr>
        <w:spacing w:line="360" w:lineRule="auto"/>
        <w:rPr>
          <w:rFonts w:hint="eastAsia" w:ascii="宋体" w:hAnsi="宋体" w:eastAsia="宋体" w:cs="宋体"/>
          <w:szCs w:val="24"/>
        </w:rPr>
      </w:pPr>
      <w:r>
        <w:rPr>
          <w:rFonts w:hint="eastAsia" w:ascii="宋体" w:hAnsi="宋体" w:eastAsia="宋体" w:cs="宋体"/>
          <w:szCs w:val="24"/>
        </w:rPr>
        <w:t>1.3 投标人应按照本技术条件书中的要求提供相应文件及响应，如文件不全或不响应，应视为废标。</w:t>
      </w:r>
    </w:p>
    <w:p>
      <w:pPr>
        <w:spacing w:line="360" w:lineRule="auto"/>
        <w:rPr>
          <w:rFonts w:hint="eastAsia" w:ascii="宋体" w:hAnsi="宋体" w:eastAsia="宋体" w:cs="宋体"/>
          <w:szCs w:val="24"/>
        </w:rPr>
      </w:pPr>
      <w:r>
        <w:rPr>
          <w:rFonts w:hint="eastAsia" w:ascii="宋体" w:hAnsi="宋体" w:eastAsia="宋体" w:cs="宋体"/>
          <w:szCs w:val="24"/>
        </w:rPr>
        <w:t>1.4投标人投标设备的技术参数如与招标书“技术要求”不符，应在 “差异表”（附表）中如实澄清，否则视为废标。</w:t>
      </w:r>
    </w:p>
    <w:p>
      <w:pPr>
        <w:spacing w:line="360" w:lineRule="auto"/>
        <w:rPr>
          <w:rFonts w:hint="eastAsia" w:ascii="宋体" w:hAnsi="宋体" w:eastAsia="宋体" w:cs="宋体"/>
          <w:szCs w:val="24"/>
        </w:rPr>
      </w:pPr>
      <w:r>
        <w:rPr>
          <w:rFonts w:hint="eastAsia" w:ascii="宋体" w:hAnsi="宋体" w:eastAsia="宋体" w:cs="宋体"/>
          <w:szCs w:val="24"/>
        </w:rPr>
        <w:t>1.5 投标人负责提供投标设备的现场测试、调试工作，如向第三方外购设备或配件时，投标人应对质量负责。</w:t>
      </w:r>
    </w:p>
    <w:p>
      <w:pPr>
        <w:spacing w:line="360" w:lineRule="auto"/>
        <w:jc w:val="left"/>
        <w:rPr>
          <w:rFonts w:hint="eastAsia" w:ascii="宋体" w:hAnsi="宋体" w:eastAsia="宋体" w:cs="宋体"/>
          <w:szCs w:val="24"/>
        </w:rPr>
      </w:pPr>
      <w:r>
        <w:rPr>
          <w:rFonts w:hint="eastAsia" w:ascii="宋体" w:hAnsi="宋体" w:eastAsia="宋体" w:cs="宋体"/>
          <w:szCs w:val="24"/>
        </w:rPr>
        <w:t>1.6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eastAsia="宋体" w:cs="宋体"/>
          <w:szCs w:val="24"/>
        </w:rPr>
      </w:pPr>
      <w:r>
        <w:rPr>
          <w:rFonts w:hint="eastAsia" w:ascii="宋体" w:hAnsi="宋体" w:eastAsia="宋体" w:cs="宋体"/>
          <w:szCs w:val="24"/>
        </w:rPr>
        <w:t>1.7 投标人投标设备应在工厂内通过完善、严格的测试检验。</w:t>
      </w:r>
    </w:p>
    <w:p>
      <w:pPr>
        <w:suppressAutoHyphens/>
        <w:spacing w:line="360" w:lineRule="auto"/>
        <w:rPr>
          <w:rFonts w:hint="eastAsia" w:ascii="宋体" w:hAnsi="宋体" w:eastAsia="宋体" w:cs="宋体"/>
          <w:szCs w:val="24"/>
        </w:rPr>
      </w:pPr>
      <w:r>
        <w:rPr>
          <w:rFonts w:hint="eastAsia" w:ascii="宋体" w:hAnsi="宋体" w:eastAsia="宋体" w:cs="宋体"/>
          <w:szCs w:val="24"/>
        </w:rPr>
        <w:t>1.8 所有资料、文件、图纸要求以中文书写（原厂商的资料如果有英文资料则需要将其附带），所有计算、说明、图纸、文件、手册等采用国际单位制。</w:t>
      </w:r>
    </w:p>
    <w:p>
      <w:pPr>
        <w:spacing w:line="360" w:lineRule="auto"/>
        <w:rPr>
          <w:rFonts w:hint="eastAsia" w:ascii="宋体" w:hAnsi="宋体" w:eastAsia="宋体" w:cs="宋体"/>
          <w:szCs w:val="24"/>
        </w:rPr>
      </w:pPr>
      <w:r>
        <w:rPr>
          <w:rFonts w:hint="eastAsia" w:ascii="宋体" w:hAnsi="宋体" w:eastAsia="宋体" w:cs="宋体"/>
          <w:szCs w:val="24"/>
        </w:rPr>
        <w:t>1.9 本技术规范书的解释权属于南方电网通用航空服务有限公司。技术规范书未经南方电网通用航空服务有限公司同意，任何个人和单位不得做出任何修改。</w:t>
      </w:r>
    </w:p>
    <w:p>
      <w:pPr>
        <w:pStyle w:val="4"/>
        <w:rPr>
          <w:rFonts w:hint="eastAsia" w:ascii="宋体" w:hAnsi="宋体" w:eastAsia="宋体" w:cs="宋体"/>
          <w:sz w:val="21"/>
        </w:rPr>
      </w:pPr>
      <w:bookmarkStart w:id="4" w:name="_Toc14873"/>
      <w:bookmarkStart w:id="5" w:name="_Toc6217"/>
      <w:bookmarkStart w:id="6" w:name="_Toc12739"/>
      <w:r>
        <w:rPr>
          <w:rFonts w:hint="eastAsia" w:ascii="宋体" w:hAnsi="宋体" w:eastAsia="宋体" w:cs="宋体"/>
          <w:sz w:val="21"/>
        </w:rPr>
        <w:t>2技术文件的组成</w:t>
      </w:r>
      <w:bookmarkEnd w:id="4"/>
      <w:bookmarkEnd w:id="5"/>
      <w:bookmarkEnd w:id="6"/>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投标设备的详细供货清单</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技术应答书，应逐条“点对点”回应本标书的技术规范；</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差异表(格式见附表)；</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售后服务保证相关证书，包括产品合格证书、产品三包凭证和保修卡；</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产品出厂检测报告；</w:t>
      </w:r>
    </w:p>
    <w:p>
      <w:pPr>
        <w:numPr>
          <w:ilvl w:val="1"/>
          <w:numId w:val="1"/>
        </w:numPr>
        <w:suppressAutoHyphens/>
        <w:spacing w:line="360" w:lineRule="auto"/>
        <w:rPr>
          <w:rFonts w:hint="eastAsia" w:ascii="宋体" w:hAnsi="宋体" w:eastAsia="宋体" w:cs="宋体"/>
          <w:b w:val="0"/>
          <w:bCs w:val="0"/>
          <w:szCs w:val="24"/>
          <w:lang w:val="en-US" w:eastAsia="zh-CN"/>
        </w:rPr>
      </w:pPr>
      <w:r>
        <w:rPr>
          <w:rFonts w:hint="eastAsia" w:ascii="宋体" w:hAnsi="宋体" w:eastAsia="宋体" w:cs="宋体"/>
          <w:b w:val="0"/>
          <w:bCs w:val="0"/>
          <w:szCs w:val="24"/>
        </w:rPr>
        <w:t>提供中文操作手册和维护手册</w:t>
      </w:r>
      <w:r>
        <w:rPr>
          <w:rFonts w:hint="eastAsia" w:ascii="宋体" w:hAnsi="宋体" w:eastAsia="宋体" w:cs="宋体"/>
          <w:b w:val="0"/>
          <w:bCs w:val="0"/>
          <w:szCs w:val="24"/>
          <w:lang w:eastAsia="zh-CN"/>
        </w:rPr>
        <w:t>。</w:t>
      </w:r>
      <w:bookmarkStart w:id="7" w:name="_Toc11737"/>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val="en-US" w:eastAsia="zh-CN"/>
        </w:rPr>
      </w:pPr>
    </w:p>
    <w:p>
      <w:pPr>
        <w:pStyle w:val="4"/>
        <w:rPr>
          <w:rFonts w:hint="eastAsia" w:ascii="宋体" w:hAnsi="宋体" w:eastAsia="宋体" w:cs="宋体"/>
          <w:b w:val="0"/>
          <w:bCs w:val="0"/>
          <w:sz w:val="21"/>
          <w:highlight w:val="yellow"/>
          <w:lang w:eastAsia="zh-CN"/>
        </w:rPr>
      </w:pPr>
      <w:bookmarkStart w:id="8" w:name="_Toc21552"/>
      <w:bookmarkStart w:id="9" w:name="_Toc13259"/>
      <w:bookmarkStart w:id="10" w:name="_Toc185"/>
      <w:bookmarkStart w:id="11" w:name="_Toc17588"/>
      <w:r>
        <w:rPr>
          <w:rFonts w:hint="eastAsia" w:ascii="宋体" w:hAnsi="宋体" w:eastAsia="宋体" w:cs="宋体"/>
          <w:sz w:val="21"/>
        </w:rPr>
        <w:t>3 应遵循的标准</w:t>
      </w:r>
      <w:bookmarkEnd w:id="8"/>
      <w:bookmarkEnd w:id="9"/>
      <w:bookmarkEnd w:id="10"/>
    </w:p>
    <w:p>
      <w:pPr>
        <w:spacing w:line="360" w:lineRule="auto"/>
        <w:ind w:firstLine="420" w:firstLineChars="200"/>
        <w:rPr>
          <w:rFonts w:hint="eastAsia" w:ascii="宋体" w:hAnsi="宋体" w:cs="宋体"/>
          <w:szCs w:val="24"/>
        </w:rPr>
      </w:pPr>
      <w:r>
        <w:rPr>
          <w:rFonts w:hint="eastAsia" w:ascii="宋体" w:hAnsi="宋体" w:cs="宋体"/>
          <w:szCs w:val="24"/>
        </w:rPr>
        <w:t>本技术规范书特殊规定外, 投标方所提供的设备均按规定的标准和规程的最新版本进行设计、制造、试验和安装。如果这些标准内容有矛盾时, 应按最高标准的条款执行或按双方商定的标准执行。如果投标方选用本技术规范书规定以外的标准时,则需提交这种替换标准供审查和分析。仅在投标方已证明替换标准相当或优于技术规范书规定的标准, 并从招标方处获得书面的认可才能使用。提交供审查的标准应为中文或英文版本。凡是未注明日期的引用标准，其最新版适用于本技术规范书。主要引用标准如下：</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2423.1 电工电子产品环境试验 第 2 部分：试验方法 试验 A：低温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2423.2 电工电子产品环境试验 第 2 部分：试验方法 试验 B：高温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2423.3 电工电子产品环境试验 第 2 部分：试验方法 试验 Cab：恒定湿热方法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2423.10 环境试验 第 2 部分：试验方法 试验 Fc：振动（正弦）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2423.17 电工电子产品环境试验 第 2 部分: 试验方法 试验 Ka：盐雾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4208 外壳防护等级（IP 代码）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13729 远动终端设备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17626.2 电磁兼容 试验和测量技术 静电放电抗扰度试验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17626.3 电磁兼容 试验和测量技术 射频电磁场辐射抗扰度试验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17626.4 电磁兼容 试验和测量技术 电快速瞬变脉冲群抗扰度试验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17626.5 电磁兼容 试验和测量技术 浪涌（冲击）抗扰度试验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17626.8 电磁兼容 试验和测量技术 工频电磁场抗扰度试验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22239 信息安全技术 网络安全等级保护基本要求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28448 信息安全技术 网络安全等级保护测评要求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 xml:space="preserve">GB/T 33697 公路交通气象监测设施技术要求 </w:t>
      </w:r>
    </w:p>
    <w:p>
      <w:pPr>
        <w:pStyle w:val="13"/>
        <w:widowControl/>
        <w:adjustRightInd w:val="0"/>
        <w:snapToGrid w:val="0"/>
        <w:spacing w:line="360" w:lineRule="auto"/>
        <w:jc w:val="left"/>
        <w:rPr>
          <w:rFonts w:asciiTheme="minorEastAsia" w:hAnsiTheme="minorEastAsia" w:eastAsiaTheme="minorEastAsia"/>
          <w:szCs w:val="21"/>
          <w:highlight w:val="none"/>
        </w:rPr>
      </w:pPr>
      <w:r>
        <w:rPr>
          <w:rFonts w:hint="eastAsia" w:cs="Times New Roman" w:asciiTheme="minorEastAsia" w:hAnsiTheme="minorEastAsia" w:eastAsiaTheme="minorEastAsia"/>
          <w:color w:val="000000"/>
          <w:szCs w:val="21"/>
          <w:highlight w:val="none"/>
          <w:lang w:bidi="ar"/>
        </w:rPr>
        <w:t>DL/T 1578 架空电力线路多旋翼无人机巡检系统</w:t>
      </w:r>
    </w:p>
    <w:bookmarkEnd w:id="7"/>
    <w:bookmarkEnd w:id="11"/>
    <w:p>
      <w:pPr>
        <w:pStyle w:val="4"/>
        <w:rPr>
          <w:rFonts w:hint="eastAsia" w:ascii="宋体" w:hAnsi="宋体" w:eastAsia="宋体" w:cs="宋体"/>
          <w:b w:val="0"/>
          <w:bCs w:val="0"/>
          <w:sz w:val="21"/>
        </w:rPr>
      </w:pPr>
      <w:bookmarkStart w:id="12" w:name="_Toc1964"/>
      <w:bookmarkStart w:id="13" w:name="_Toc27158"/>
      <w:bookmarkStart w:id="14" w:name="_Toc7698"/>
      <w:r>
        <w:rPr>
          <w:rFonts w:hint="eastAsia" w:ascii="宋体" w:hAnsi="宋体" w:eastAsia="宋体" w:cs="宋体"/>
          <w:sz w:val="21"/>
        </w:rPr>
        <w:t>4 使用条件</w:t>
      </w:r>
      <w:bookmarkEnd w:id="12"/>
      <w:bookmarkEnd w:id="13"/>
      <w:bookmarkEnd w:id="14"/>
    </w:p>
    <w:p>
      <w:pPr>
        <w:numPr>
          <w:ilvl w:val="255"/>
          <w:numId w:val="0"/>
        </w:numPr>
        <w:adjustRightInd w:val="0"/>
        <w:snapToGrid w:val="0"/>
        <w:spacing w:line="360" w:lineRule="auto"/>
        <w:rPr>
          <w:rFonts w:hint="eastAsia" w:ascii="宋体" w:hAnsi="宋体" w:eastAsia="宋体" w:cs="宋体"/>
          <w:szCs w:val="21"/>
        </w:rPr>
      </w:pPr>
      <w:r>
        <w:rPr>
          <w:rFonts w:hint="eastAsia" w:ascii="宋体" w:hAnsi="宋体" w:cs="宋体"/>
          <w:b/>
          <w:bCs/>
          <w:szCs w:val="24"/>
        </w:rPr>
        <w:t>4.1 正常工作条件</w:t>
      </w:r>
    </w:p>
    <w:p>
      <w:pPr>
        <w:numPr>
          <w:ilvl w:val="255"/>
          <w:numId w:val="0"/>
        </w:numPr>
        <w:suppressAutoHyphens/>
        <w:spacing w:line="360" w:lineRule="auto"/>
        <w:ind w:firstLine="420" w:firstLineChars="200"/>
        <w:rPr>
          <w:rFonts w:hint="eastAsia" w:ascii="宋体" w:hAnsi="宋体" w:cs="宋体"/>
          <w:szCs w:val="24"/>
        </w:rPr>
      </w:pPr>
      <w:r>
        <w:rPr>
          <w:rFonts w:ascii="宋体" w:hAnsi="宋体" w:cs="宋体"/>
          <w:szCs w:val="24"/>
        </w:rPr>
        <w:t>a)</w:t>
      </w:r>
      <w:r>
        <w:rPr>
          <w:rFonts w:ascii="宋体" w:hAnsi="宋体" w:cs="宋体"/>
          <w:szCs w:val="24"/>
        </w:rPr>
        <w:tab/>
      </w:r>
      <w:r>
        <w:rPr>
          <w:rFonts w:hint="eastAsia" w:ascii="宋体" w:hAnsi="宋体" w:cs="宋体"/>
          <w:szCs w:val="24"/>
        </w:rPr>
        <w:t>环境温度：-</w:t>
      </w:r>
      <w:r>
        <w:rPr>
          <w:rFonts w:ascii="宋体" w:hAnsi="宋体" w:cs="宋体"/>
          <w:szCs w:val="24"/>
        </w:rPr>
        <w:t>10</w:t>
      </w:r>
      <w:r>
        <w:rPr>
          <w:rFonts w:hint="eastAsia" w:ascii="宋体" w:hAnsi="宋体" w:cs="宋体"/>
          <w:szCs w:val="24"/>
        </w:rPr>
        <w:t>℃～</w:t>
      </w:r>
      <w:r>
        <w:rPr>
          <w:rFonts w:ascii="宋体" w:hAnsi="宋体" w:cs="宋体"/>
          <w:szCs w:val="24"/>
        </w:rPr>
        <w:t>+40</w:t>
      </w:r>
      <w:r>
        <w:rPr>
          <w:rFonts w:hint="eastAsia" w:ascii="宋体" w:hAnsi="宋体" w:cs="宋体"/>
          <w:szCs w:val="24"/>
        </w:rPr>
        <w:t>℃。</w:t>
      </w:r>
    </w:p>
    <w:p>
      <w:pPr>
        <w:numPr>
          <w:ilvl w:val="255"/>
          <w:numId w:val="0"/>
        </w:numPr>
        <w:suppressAutoHyphens/>
        <w:spacing w:line="360" w:lineRule="auto"/>
        <w:ind w:firstLine="420" w:firstLineChars="200"/>
        <w:rPr>
          <w:rFonts w:hint="eastAsia" w:ascii="宋体" w:hAnsi="宋体" w:cs="宋体"/>
          <w:szCs w:val="24"/>
        </w:rPr>
      </w:pPr>
      <w:r>
        <w:rPr>
          <w:rFonts w:hint="eastAsia" w:ascii="宋体" w:hAnsi="宋体" w:cs="宋体"/>
          <w:szCs w:val="24"/>
        </w:rPr>
        <w:t>b)</w:t>
      </w:r>
      <w:r>
        <w:rPr>
          <w:rFonts w:hint="eastAsia" w:ascii="宋体" w:hAnsi="宋体" w:cs="宋体"/>
          <w:szCs w:val="24"/>
        </w:rPr>
        <w:tab/>
      </w:r>
      <w:r>
        <w:rPr>
          <w:rFonts w:hint="eastAsia" w:ascii="宋体" w:hAnsi="宋体" w:cs="宋体"/>
          <w:szCs w:val="24"/>
        </w:rPr>
        <w:t>环境相对湿度：0%～95%RH（产品内部，既不应凝露，也不应结冰）。</w:t>
      </w:r>
    </w:p>
    <w:p>
      <w:pPr>
        <w:numPr>
          <w:ilvl w:val="255"/>
          <w:numId w:val="0"/>
        </w:numPr>
        <w:suppressAutoHyphens/>
        <w:spacing w:line="360" w:lineRule="auto"/>
        <w:ind w:firstLine="420" w:firstLineChars="200"/>
        <w:rPr>
          <w:rFonts w:hint="eastAsia" w:ascii="宋体" w:hAnsi="宋体" w:cs="宋体"/>
          <w:szCs w:val="24"/>
        </w:rPr>
      </w:pPr>
      <w:r>
        <w:rPr>
          <w:rFonts w:hint="eastAsia" w:ascii="宋体" w:hAnsi="宋体" w:cs="宋体"/>
          <w:szCs w:val="24"/>
        </w:rPr>
        <w:t>c)</w:t>
      </w:r>
      <w:r>
        <w:rPr>
          <w:rFonts w:hint="eastAsia" w:ascii="宋体" w:hAnsi="宋体" w:cs="宋体"/>
          <w:szCs w:val="24"/>
        </w:rPr>
        <w:tab/>
      </w:r>
      <w:r>
        <w:rPr>
          <w:rFonts w:hint="eastAsia" w:ascii="宋体" w:hAnsi="宋体" w:cs="宋体"/>
          <w:szCs w:val="24"/>
        </w:rPr>
        <w:t>防护等级≥IP45。</w:t>
      </w:r>
    </w:p>
    <w:p>
      <w:pPr>
        <w:numPr>
          <w:ilvl w:val="255"/>
          <w:numId w:val="0"/>
        </w:numPr>
        <w:adjustRightInd w:val="0"/>
        <w:snapToGrid w:val="0"/>
        <w:spacing w:line="360" w:lineRule="auto"/>
        <w:ind w:firstLine="420" w:firstLineChars="200"/>
        <w:rPr>
          <w:rFonts w:hint="eastAsia" w:ascii="宋体" w:hAnsi="宋体" w:eastAsia="宋体" w:cs="宋体"/>
          <w:szCs w:val="21"/>
        </w:rPr>
      </w:pPr>
      <w:r>
        <w:rPr>
          <w:rFonts w:hint="eastAsia" w:ascii="宋体" w:hAnsi="宋体" w:cs="宋体"/>
          <w:szCs w:val="24"/>
        </w:rPr>
        <w:t>d)</w:t>
      </w:r>
      <w:r>
        <w:rPr>
          <w:rFonts w:hint="eastAsia" w:ascii="宋体" w:hAnsi="宋体" w:cs="宋体"/>
          <w:szCs w:val="24"/>
        </w:rPr>
        <w:tab/>
      </w:r>
      <w:r>
        <w:rPr>
          <w:rFonts w:hint="eastAsia" w:ascii="宋体" w:hAnsi="宋体" w:cs="宋体"/>
          <w:szCs w:val="24"/>
          <w:lang w:val="en-US" w:eastAsia="zh-CN"/>
        </w:rPr>
        <w:t>最大作业</w:t>
      </w:r>
      <w:r>
        <w:rPr>
          <w:rFonts w:hint="eastAsia" w:ascii="宋体" w:hAnsi="宋体" w:cs="宋体"/>
          <w:szCs w:val="24"/>
        </w:rPr>
        <w:t>海拔≥4000m。</w:t>
      </w:r>
    </w:p>
    <w:p>
      <w:pPr>
        <w:numPr>
          <w:ilvl w:val="255"/>
          <w:numId w:val="0"/>
        </w:numPr>
        <w:adjustRightInd/>
        <w:snapToGrid/>
        <w:spacing w:line="360" w:lineRule="auto"/>
        <w:ind w:firstLine="0" w:firstLineChars="0"/>
        <w:rPr>
          <w:rFonts w:hint="eastAsia" w:ascii="宋体" w:hAnsi="宋体" w:eastAsia="宋体" w:cs="宋体"/>
          <w:highlight w:val="yellow"/>
          <w:lang w:eastAsia="zh-CN"/>
        </w:rPr>
      </w:pPr>
      <w:r>
        <w:rPr>
          <w:rFonts w:hint="eastAsia" w:ascii="宋体" w:hAnsi="宋体" w:cs="宋体"/>
          <w:b/>
          <w:bCs/>
          <w:szCs w:val="24"/>
        </w:rPr>
        <w:t>4.2 安全性要求</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1）无人机开机时应自动对全机各分系统的工作状态进行检查并定位故障位置，自检项目应至少包括飞行控制模块及传感器、飞控供电电压、舵机供电电压，自检时任一模块异常，系统应自动锁死，无法放飞；</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2）无人机地面站应对固定翼无人机状态数据进行监测，异常时应发出明显声或光警报；</w:t>
      </w:r>
    </w:p>
    <w:p>
      <w:pPr>
        <w:spacing w:line="360" w:lineRule="auto"/>
        <w:ind w:firstLine="420" w:firstLineChars="200"/>
        <w:rPr>
          <w:rFonts w:ascii="宋体" w:hAnsi="宋体" w:cs="宋体"/>
          <w:szCs w:val="21"/>
          <w:lang w:val="zh-CN"/>
        </w:rPr>
      </w:pPr>
      <w:r>
        <w:rPr>
          <w:rFonts w:hint="eastAsia" w:ascii="宋体" w:hAnsi="宋体" w:cs="宋体"/>
          <w:szCs w:val="21"/>
        </w:rPr>
        <w:t>3）</w:t>
      </w:r>
      <w:r>
        <w:rPr>
          <w:rFonts w:hint="eastAsia" w:ascii="宋体" w:hAnsi="宋体" w:cs="宋体"/>
          <w:color w:val="000000"/>
          <w:szCs w:val="21"/>
        </w:rPr>
        <w:t>无人机</w:t>
      </w:r>
      <w:r>
        <w:rPr>
          <w:rFonts w:hint="eastAsia" w:ascii="宋体" w:hAnsi="宋体" w:cs="宋体"/>
          <w:szCs w:val="21"/>
        </w:rPr>
        <w:t>应具备一键返航功能，固定翼无人机在异常飞行状态时应能按照预先制定的安全策略自动返航；</w:t>
      </w:r>
    </w:p>
    <w:p>
      <w:pPr>
        <w:spacing w:line="360" w:lineRule="auto"/>
        <w:ind w:firstLine="420" w:firstLineChars="200"/>
        <w:rPr>
          <w:rFonts w:ascii="宋体" w:hAnsi="宋体" w:cs="宋体"/>
          <w:szCs w:val="21"/>
          <w:highlight w:val="none"/>
          <w:lang w:val="zh-CN"/>
        </w:rPr>
      </w:pPr>
      <w:r>
        <w:rPr>
          <w:rFonts w:hint="eastAsia" w:ascii="宋体" w:hAnsi="宋体" w:cs="宋体"/>
          <w:szCs w:val="21"/>
        </w:rPr>
        <w:t>4）</w:t>
      </w:r>
      <w:r>
        <w:rPr>
          <w:rFonts w:hint="eastAsia" w:ascii="宋体" w:hAnsi="宋体" w:cs="宋体"/>
          <w:color w:val="000000"/>
          <w:szCs w:val="21"/>
        </w:rPr>
        <w:t>无人机</w:t>
      </w:r>
      <w:r>
        <w:rPr>
          <w:rFonts w:hint="eastAsia" w:ascii="宋体" w:hAnsi="宋体" w:cs="宋体"/>
          <w:szCs w:val="21"/>
        </w:rPr>
        <w:t>应具备失控保护功能，数据链中断超过预设时间时，固定翼无人机应能够按照预先制</w:t>
      </w:r>
      <w:r>
        <w:rPr>
          <w:rFonts w:hint="eastAsia" w:ascii="宋体" w:hAnsi="宋体" w:cs="宋体"/>
          <w:szCs w:val="21"/>
          <w:highlight w:val="none"/>
        </w:rPr>
        <w:t>定</w:t>
      </w:r>
      <w:r>
        <w:rPr>
          <w:rFonts w:hint="eastAsia" w:ascii="宋体" w:hAnsi="宋体" w:cs="宋体"/>
          <w:szCs w:val="21"/>
          <w:highlight w:val="none"/>
          <w:lang w:val="zh-CN"/>
        </w:rPr>
        <w:t>的安全策略自动返航；</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5）卫星定位模块：仅支持BDS</w:t>
      </w:r>
      <w:r>
        <w:rPr>
          <w:rFonts w:hint="eastAsia" w:ascii="宋体" w:hAnsi="宋体" w:cs="宋体"/>
          <w:szCs w:val="21"/>
          <w:highlight w:val="none"/>
          <w:lang w:val="en-US" w:eastAsia="zh-CN"/>
        </w:rPr>
        <w:t>三号系统</w:t>
      </w:r>
      <w:r>
        <w:rPr>
          <w:rFonts w:hint="eastAsia" w:ascii="宋体" w:hAnsi="宋体" w:cs="宋体"/>
          <w:szCs w:val="21"/>
          <w:highlight w:val="none"/>
          <w:lang w:eastAsia="zh-CN"/>
        </w:rPr>
        <w:t>；</w:t>
      </w:r>
      <w:r>
        <w:rPr>
          <w:rFonts w:hint="eastAsia" w:ascii="宋体" w:hAnsi="宋体" w:cs="宋体"/>
          <w:color w:val="000000"/>
          <w:szCs w:val="21"/>
          <w:highlight w:val="none"/>
        </w:rPr>
        <w:t>无人机</w:t>
      </w:r>
      <w:r>
        <w:rPr>
          <w:rFonts w:hint="eastAsia" w:ascii="宋体" w:hAnsi="宋体" w:cs="宋体"/>
          <w:szCs w:val="21"/>
          <w:highlight w:val="none"/>
        </w:rPr>
        <w:t>应</w:t>
      </w:r>
      <w:r>
        <w:rPr>
          <w:rFonts w:hint="eastAsia" w:ascii="宋体" w:hAnsi="宋体" w:cs="宋体"/>
          <w:szCs w:val="21"/>
          <w:highlight w:val="none"/>
          <w:lang w:val="en-US" w:eastAsia="zh-CN"/>
        </w:rPr>
        <w:t>支持BDS卫星定位</w:t>
      </w:r>
      <w:r>
        <w:rPr>
          <w:rFonts w:hint="eastAsia" w:ascii="宋体" w:hAnsi="宋体" w:cs="宋体"/>
          <w:szCs w:val="21"/>
          <w:highlight w:val="none"/>
          <w:lang w:val="zh-CN"/>
        </w:rPr>
        <w:t>多冗余设计，确保飞行过程中若主差分卫星定位数据出现异常可以平滑切换到备份卫星定位数据，保障飞行安全。</w:t>
      </w:r>
    </w:p>
    <w:p>
      <w:pPr>
        <w:spacing w:line="360" w:lineRule="auto"/>
        <w:ind w:firstLine="420" w:firstLineChars="200"/>
        <w:rPr>
          <w:rFonts w:ascii="宋体" w:hAnsi="宋体" w:cs="宋体"/>
          <w:szCs w:val="21"/>
          <w:lang w:val="zh-CN" w:bidi="zh-CN"/>
        </w:rPr>
      </w:pPr>
      <w:r>
        <w:rPr>
          <w:rFonts w:hint="eastAsia" w:ascii="宋体" w:hAnsi="宋体" w:cs="宋体"/>
          <w:szCs w:val="21"/>
        </w:rPr>
        <w:t>6）</w:t>
      </w:r>
      <w:r>
        <w:rPr>
          <w:rFonts w:hint="eastAsia" w:ascii="宋体" w:hAnsi="宋体" w:cs="宋体"/>
          <w:color w:val="000000"/>
          <w:szCs w:val="21"/>
        </w:rPr>
        <w:t>无人机</w:t>
      </w:r>
      <w:r>
        <w:rPr>
          <w:rFonts w:hint="eastAsia" w:ascii="宋体" w:hAnsi="宋体" w:cs="宋体"/>
          <w:szCs w:val="21"/>
        </w:rPr>
        <w:t>应具备</w:t>
      </w:r>
      <w:r>
        <w:rPr>
          <w:rFonts w:hint="eastAsia" w:ascii="宋体" w:hAnsi="宋体" w:cs="宋体"/>
          <w:szCs w:val="21"/>
          <w:lang w:val="zh-CN"/>
        </w:rPr>
        <w:t>双磁罗盘多冗余设计，确保飞行过程中若内置磁罗盘出现异常可以平滑切换到备份外置磁罗盘，保障飞行安全</w:t>
      </w:r>
      <w:r>
        <w:rPr>
          <w:rFonts w:hint="eastAsia" w:ascii="宋体" w:hAnsi="宋体" w:cs="宋体"/>
          <w:szCs w:val="21"/>
          <w:lang w:val="zh-CN" w:bidi="zh-CN"/>
        </w:rPr>
        <w:t>。</w:t>
      </w:r>
    </w:p>
    <w:p>
      <w:pPr>
        <w:pStyle w:val="2"/>
        <w:ind w:firstLine="420" w:firstLineChars="200"/>
        <w:rPr>
          <w:rFonts w:ascii="宋体" w:hAnsi="宋体" w:cs="宋体"/>
          <w:szCs w:val="21"/>
          <w:lang w:val="zh-CN"/>
        </w:rPr>
      </w:pPr>
      <w:r>
        <w:rPr>
          <w:rFonts w:hint="eastAsia" w:ascii="宋体" w:hAnsi="宋体" w:cs="宋体"/>
          <w:szCs w:val="21"/>
          <w:lang w:val="zh-CN"/>
        </w:rPr>
        <w:t>7）</w:t>
      </w:r>
      <w:r>
        <w:rPr>
          <w:rFonts w:hint="eastAsia" w:ascii="宋体" w:hAnsi="宋体" w:cs="宋体"/>
          <w:color w:val="000000"/>
          <w:szCs w:val="21"/>
        </w:rPr>
        <w:t>无人机</w:t>
      </w:r>
      <w:r>
        <w:rPr>
          <w:rFonts w:hint="eastAsia" w:ascii="宋体" w:hAnsi="宋体" w:cs="宋体"/>
          <w:szCs w:val="21"/>
        </w:rPr>
        <w:t>应</w:t>
      </w:r>
      <w:r>
        <w:rPr>
          <w:rFonts w:hint="eastAsia" w:ascii="宋体" w:hAnsi="宋体" w:cs="宋体"/>
          <w:szCs w:val="21"/>
          <w:lang w:val="zh-CN"/>
        </w:rPr>
        <w:t>具备应急处置能力，数据链路信号丢失自动返航、掉高自动返航和低电压自动返航等功能</w:t>
      </w:r>
    </w:p>
    <w:p>
      <w:pPr>
        <w:ind w:firstLine="420" w:firstLineChars="200"/>
        <w:rPr>
          <w:rFonts w:ascii="宋体" w:hAnsi="宋体" w:cs="宋体"/>
          <w:szCs w:val="21"/>
        </w:rPr>
      </w:pPr>
      <w:r>
        <w:rPr>
          <w:rFonts w:hint="eastAsia" w:ascii="宋体" w:hAnsi="宋体" w:cs="宋体"/>
          <w:szCs w:val="21"/>
        </w:rPr>
        <w:t>8）</w:t>
      </w:r>
      <w:r>
        <w:rPr>
          <w:rFonts w:hint="eastAsia" w:ascii="宋体" w:hAnsi="宋体" w:cs="宋体"/>
          <w:color w:val="000000"/>
          <w:szCs w:val="21"/>
        </w:rPr>
        <w:t>无人机</w:t>
      </w:r>
      <w:r>
        <w:rPr>
          <w:rFonts w:hint="eastAsia" w:ascii="宋体" w:hAnsi="宋体" w:cs="宋体"/>
          <w:szCs w:val="21"/>
        </w:rPr>
        <w:t>应具备应急处置能力，具有近地规避功能。</w:t>
      </w:r>
    </w:p>
    <w:p>
      <w:pPr>
        <w:pStyle w:val="2"/>
        <w:adjustRightInd w:val="0"/>
        <w:snapToGrid w:val="0"/>
        <w:spacing w:line="360" w:lineRule="auto"/>
        <w:ind w:firstLine="420" w:firstLineChars="200"/>
        <w:rPr>
          <w:rFonts w:hint="eastAsia" w:ascii="宋体" w:hAnsi="宋体" w:eastAsia="宋体" w:cs="宋体"/>
          <w:sz w:val="21"/>
          <w:lang w:val="en-US" w:eastAsia="zh-CN"/>
        </w:rPr>
      </w:pPr>
      <w:r>
        <w:rPr>
          <w:rFonts w:hint="eastAsia" w:ascii="宋体" w:hAnsi="宋体" w:cs="宋体"/>
          <w:szCs w:val="21"/>
        </w:rPr>
        <w:t>9）</w:t>
      </w:r>
      <w:r>
        <w:rPr>
          <w:rFonts w:hint="eastAsia" w:ascii="宋体" w:hAnsi="宋体" w:cs="宋体"/>
          <w:color w:val="000000"/>
          <w:szCs w:val="21"/>
        </w:rPr>
        <w:t>无人机</w:t>
      </w:r>
      <w:r>
        <w:rPr>
          <w:rFonts w:hint="eastAsia" w:ascii="宋体" w:hAnsi="宋体" w:cs="宋体"/>
          <w:szCs w:val="21"/>
        </w:rPr>
        <w:t>应具备云监控功能，可在云端实时监控无人机运行状态。</w:t>
      </w:r>
    </w:p>
    <w:p>
      <w:pPr>
        <w:pStyle w:val="4"/>
        <w:adjustRightInd w:val="0"/>
        <w:snapToGrid w:val="0"/>
        <w:spacing w:line="360" w:lineRule="auto"/>
        <w:ind w:firstLineChars="200"/>
        <w:rPr>
          <w:rFonts w:hint="eastAsia" w:ascii="宋体" w:hAnsi="宋体" w:eastAsia="宋体" w:cs="宋体"/>
        </w:rPr>
      </w:pPr>
      <w:bookmarkStart w:id="15" w:name="_Toc27469"/>
      <w:r>
        <w:rPr>
          <w:rFonts w:hint="eastAsia" w:ascii="宋体" w:hAnsi="宋体" w:eastAsia="宋体" w:cs="宋体"/>
          <w:sz w:val="21"/>
          <w:lang w:val="en-US" w:eastAsia="zh-CN"/>
        </w:rPr>
        <w:t>5</w:t>
      </w:r>
      <w:r>
        <w:rPr>
          <w:rFonts w:hint="eastAsia" w:ascii="宋体" w:hAnsi="宋体" w:eastAsia="宋体" w:cs="宋体"/>
          <w:sz w:val="21"/>
        </w:rPr>
        <w:t>技术要求</w:t>
      </w:r>
      <w:bookmarkEnd w:id="15"/>
    </w:p>
    <w:p>
      <w:pPr>
        <w:pStyle w:val="13"/>
        <w:adjustRightInd w:val="0"/>
        <w:snapToGrid w:val="0"/>
        <w:spacing w:line="360" w:lineRule="auto"/>
        <w:rPr>
          <w:rFonts w:hint="eastAsia" w:ascii="宋体" w:hAnsi="宋体" w:eastAsia="宋体" w:cs="宋体"/>
          <w:szCs w:val="21"/>
        </w:rPr>
      </w:pPr>
      <w:r>
        <w:rPr>
          <w:rFonts w:hint="eastAsia" w:ascii="宋体" w:hAnsi="宋体" w:eastAsia="宋体" w:cs="宋体"/>
          <w:szCs w:val="21"/>
        </w:rPr>
        <w:t>本技术规范书采购的设备适用的外部条件如下：</w:t>
      </w:r>
    </w:p>
    <w:p>
      <w:pPr>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cs="宋体"/>
          <w:szCs w:val="21"/>
          <w:lang w:val="en-US" w:eastAsia="zh-CN"/>
        </w:rPr>
        <w:t>5</w:t>
      </w:r>
      <w:r>
        <w:rPr>
          <w:rFonts w:hint="eastAsia" w:ascii="宋体" w:hAnsi="宋体" w:eastAsia="宋体" w:cs="宋体"/>
          <w:szCs w:val="21"/>
        </w:rPr>
        <w:t xml:space="preserve"> 设备外部条件一览表 （招标方填写）</w:t>
      </w:r>
    </w:p>
    <w:tbl>
      <w:tblPr>
        <w:tblStyle w:val="10"/>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699"/>
        <w:gridCol w:w="672"/>
        <w:gridCol w:w="900"/>
        <w:gridCol w:w="924"/>
        <w:gridCol w:w="1104"/>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序号</w:t>
            </w:r>
          </w:p>
        </w:tc>
        <w:tc>
          <w:tcPr>
            <w:tcW w:w="1699"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参数类型</w:t>
            </w:r>
          </w:p>
        </w:tc>
        <w:tc>
          <w:tcPr>
            <w:tcW w:w="672"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单位</w:t>
            </w:r>
          </w:p>
        </w:tc>
        <w:tc>
          <w:tcPr>
            <w:tcW w:w="900"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正常使用条件</w:t>
            </w:r>
          </w:p>
        </w:tc>
        <w:tc>
          <w:tcPr>
            <w:tcW w:w="924"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特殊使用条件</w:t>
            </w:r>
          </w:p>
        </w:tc>
        <w:tc>
          <w:tcPr>
            <w:tcW w:w="1104"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项目需求值或表述</w:t>
            </w:r>
          </w:p>
        </w:tc>
        <w:tc>
          <w:tcPr>
            <w:tcW w:w="1572"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投标人保证值</w:t>
            </w:r>
          </w:p>
        </w:tc>
        <w:tc>
          <w:tcPr>
            <w:tcW w:w="135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1</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最高日温度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50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50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1.2</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最低日温度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r>
              <w:rPr>
                <w:rFonts w:hint="eastAsia" w:ascii="宋体" w:hAnsi="宋体" w:eastAsia="宋体" w:cs="宋体"/>
                <w:kern w:val="0"/>
                <w:szCs w:val="21"/>
                <w:lang w:val="en-US" w:eastAsia="zh-CN"/>
              </w:rPr>
              <w:t>3</w:t>
            </w: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w:t>
            </w:r>
            <w:r>
              <w:rPr>
                <w:rFonts w:hint="eastAsia" w:ascii="宋体" w:hAnsi="宋体" w:eastAsia="宋体" w:cs="宋体"/>
                <w:kern w:val="0"/>
                <w:szCs w:val="21"/>
                <w:lang w:val="en-US" w:eastAsia="zh-CN"/>
              </w:rPr>
              <w:t>3</w:t>
            </w: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环境相对湿度%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最大相对湿度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95</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2.2</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最小相对湿度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5</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海拔高度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最大海拔高度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6000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600</w:t>
            </w:r>
            <w:r>
              <w:rPr>
                <w:rFonts w:hint="eastAsia" w:ascii="宋体" w:hAnsi="宋体" w:eastAsia="宋体" w:cs="宋体"/>
                <w:kern w:val="0"/>
                <w:szCs w:val="21"/>
                <w:lang w:val="en-US" w:eastAsia="zh-CN"/>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最小海拔高度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bl>
    <w:p>
      <w:pPr>
        <w:adjustRightInd w:val="0"/>
        <w:snapToGrid w:val="0"/>
        <w:spacing w:line="360" w:lineRule="auto"/>
        <w:ind w:firstLine="420" w:firstLineChars="200"/>
        <w:rPr>
          <w:rFonts w:hint="eastAsia" w:ascii="宋体" w:hAnsi="宋体" w:eastAsia="宋体" w:cs="宋体"/>
        </w:rPr>
      </w:pPr>
    </w:p>
    <w:p>
      <w:pPr>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w:t>
      </w:r>
      <w:r>
        <w:rPr>
          <w:rFonts w:hint="eastAsia" w:ascii="宋体" w:hAnsi="宋体" w:cs="宋体"/>
          <w:lang w:val="en-US" w:eastAsia="zh-CN"/>
        </w:rPr>
        <w:t>附表2</w:t>
      </w:r>
      <w:r>
        <w:rPr>
          <w:rFonts w:hint="eastAsia" w:ascii="宋体" w:hAnsi="宋体" w:eastAsia="宋体" w:cs="宋体"/>
        </w:rPr>
        <w:t>：技术差异表。下表中投标方保证值不得低于项目要求值要求。</w:t>
      </w:r>
    </w:p>
    <w:p>
      <w:pPr>
        <w:adjustRightInd/>
        <w:snapToGrid/>
        <w:spacing w:line="240" w:lineRule="auto"/>
        <w:ind w:firstLine="0" w:firstLineChars="0"/>
        <w:rPr>
          <w:rFonts w:hint="eastAsia" w:ascii="宋体" w:hAnsi="宋体" w:eastAsia="宋体" w:cs="宋体"/>
        </w:rPr>
      </w:pPr>
      <w:r>
        <w:rPr>
          <w:rFonts w:hint="eastAsia" w:ascii="宋体" w:hAnsi="宋体" w:eastAsia="宋体" w:cs="宋体"/>
        </w:rPr>
        <w:br w:type="page"/>
      </w:r>
    </w:p>
    <w:p>
      <w:pPr>
        <w:adjustRightInd w:val="0"/>
        <w:snapToGrid w:val="0"/>
        <w:spacing w:line="360" w:lineRule="auto"/>
        <w:ind w:firstLine="420" w:firstLineChars="200"/>
        <w:rPr>
          <w:rFonts w:hint="eastAsia" w:ascii="宋体" w:hAnsi="宋体" w:eastAsia="宋体" w:cs="宋体"/>
        </w:rPr>
      </w:pPr>
    </w:p>
    <w:p>
      <w:pPr>
        <w:jc w:val="center"/>
        <w:rPr>
          <w:rFonts w:hint="eastAsia" w:ascii="宋体" w:hAnsi="宋体" w:eastAsia="宋体" w:cs="宋体"/>
          <w:szCs w:val="21"/>
        </w:rPr>
      </w:pPr>
      <w:bookmarkStart w:id="16" w:name="_Toc2271"/>
      <w:r>
        <w:rPr>
          <w:rFonts w:hint="eastAsia" w:ascii="宋体" w:hAnsi="宋体" w:eastAsia="宋体" w:cs="宋体"/>
          <w:szCs w:val="21"/>
        </w:rPr>
        <w:t>表</w:t>
      </w:r>
      <w:r>
        <w:rPr>
          <w:rFonts w:hint="eastAsia" w:ascii="宋体" w:hAnsi="宋体" w:cs="宋体"/>
          <w:szCs w:val="21"/>
          <w:lang w:val="en-US" w:eastAsia="zh-CN"/>
        </w:rPr>
        <w:t>5</w:t>
      </w:r>
      <w:r>
        <w:rPr>
          <w:rFonts w:hint="eastAsia" w:ascii="宋体" w:hAnsi="宋体" w:eastAsia="宋体" w:cs="宋体"/>
          <w:szCs w:val="21"/>
        </w:rPr>
        <w:t xml:space="preserve">.1   </w:t>
      </w:r>
      <w:r>
        <w:rPr>
          <w:rFonts w:hint="eastAsia" w:ascii="宋体" w:hAnsi="宋体" w:cs="宋体"/>
          <w:szCs w:val="21"/>
          <w:lang w:val="en-US" w:eastAsia="zh-CN"/>
        </w:rPr>
        <w:t>紧凑型</w:t>
      </w:r>
      <w:r>
        <w:rPr>
          <w:rFonts w:hint="eastAsia" w:ascii="宋体" w:hAnsi="宋体" w:eastAsia="宋体" w:cs="宋体"/>
          <w:szCs w:val="24"/>
          <w:lang w:val="en-US" w:eastAsia="zh-CN"/>
        </w:rPr>
        <w:t>无人机机巢</w:t>
      </w:r>
      <w:r>
        <w:rPr>
          <w:rFonts w:hint="eastAsia" w:ascii="宋体" w:hAnsi="宋体" w:cs="宋体"/>
          <w:szCs w:val="24"/>
          <w:lang w:val="en-US" w:eastAsia="zh-CN"/>
        </w:rPr>
        <w:t>E</w:t>
      </w:r>
      <w:r>
        <w:rPr>
          <w:rFonts w:hint="eastAsia" w:ascii="宋体" w:hAnsi="宋体" w:eastAsia="宋体" w:cs="宋体"/>
          <w:szCs w:val="21"/>
        </w:rPr>
        <w:t>技术特性参数</w:t>
      </w:r>
      <w:r>
        <w:rPr>
          <w:rFonts w:hint="eastAsia" w:ascii="宋体" w:hAnsi="宋体" w:eastAsia="宋体" w:cs="宋体"/>
        </w:rPr>
        <w:t>和性能要求响应</w:t>
      </w:r>
      <w:r>
        <w:rPr>
          <w:rFonts w:hint="eastAsia" w:ascii="宋体" w:hAnsi="宋体" w:eastAsia="宋体" w:cs="宋体"/>
          <w:szCs w:val="21"/>
        </w:rPr>
        <w:t xml:space="preserve">表（投标方填写） </w:t>
      </w:r>
    </w:p>
    <w:tbl>
      <w:tblPr>
        <w:tblStyle w:val="10"/>
        <w:tblW w:w="8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734"/>
        <w:gridCol w:w="695"/>
        <w:gridCol w:w="3112"/>
        <w:gridCol w:w="1041"/>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8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734"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695"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5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bCs w:val="0"/>
                <w:kern w:val="2"/>
                <w:szCs w:val="21"/>
              </w:rPr>
            </w:pPr>
            <w:r>
              <w:rPr>
                <w:rFonts w:hint="eastAsia" w:ascii="宋体" w:hAnsi="宋体" w:eastAsia="宋体" w:cs="宋体"/>
                <w:szCs w:val="21"/>
              </w:rPr>
              <w:t>1</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cs="宋体"/>
                <w:szCs w:val="21"/>
                <w:highlight w:val="yellow"/>
              </w:rPr>
              <w:t>★</w:t>
            </w:r>
            <w:r>
              <w:rPr>
                <w:rFonts w:hint="eastAsia" w:ascii="宋体" w:hAnsi="宋体" w:eastAsia="宋体" w:cs="宋体"/>
                <w:szCs w:val="21"/>
              </w:rPr>
              <w:t>尺寸（长×宽×高）</w:t>
            </w:r>
          </w:p>
        </w:tc>
        <w:tc>
          <w:tcPr>
            <w:tcW w:w="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毫米</w:t>
            </w:r>
          </w:p>
        </w:tc>
        <w:tc>
          <w:tcPr>
            <w:tcW w:w="3112"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舱门展开：</w:t>
            </w:r>
            <w:r>
              <w:rPr>
                <w:rFonts w:hint="eastAsia" w:ascii="宋体" w:hAnsi="宋体" w:eastAsia="宋体" w:cs="宋体"/>
                <w:i w:val="0"/>
                <w:iCs w:val="0"/>
                <w:color w:val="auto"/>
                <w:kern w:val="2"/>
                <w:sz w:val="21"/>
                <w:szCs w:val="21"/>
                <w:u w:val="none"/>
                <w:lang w:val="en-US" w:eastAsia="zh-CN" w:bidi="ar"/>
              </w:rPr>
              <w:t xml:space="preserve">≤长 </w:t>
            </w:r>
            <w:r>
              <w:rPr>
                <w:rFonts w:hint="eastAsia" w:ascii="宋体" w:hAnsi="宋体" w:cs="宋体"/>
                <w:i w:val="0"/>
                <w:iCs w:val="0"/>
                <w:color w:val="auto"/>
                <w:kern w:val="2"/>
                <w:sz w:val="21"/>
                <w:szCs w:val="21"/>
                <w:u w:val="none"/>
                <w:lang w:val="en-US" w:eastAsia="zh-CN" w:bidi="ar"/>
              </w:rPr>
              <w:t>1800</w:t>
            </w:r>
            <w:r>
              <w:rPr>
                <w:rFonts w:hint="eastAsia" w:ascii="宋体" w:hAnsi="宋体" w:eastAsia="宋体" w:cs="宋体"/>
                <w:i w:val="0"/>
                <w:iCs w:val="0"/>
                <w:color w:val="auto"/>
                <w:kern w:val="2"/>
                <w:sz w:val="21"/>
                <w:szCs w:val="21"/>
                <w:u w:val="none"/>
                <w:lang w:val="en-US" w:eastAsia="zh-CN" w:bidi="ar"/>
              </w:rPr>
              <w:t xml:space="preserve"> 毫米，宽 </w:t>
            </w:r>
            <w:r>
              <w:rPr>
                <w:rFonts w:hint="eastAsia" w:ascii="宋体" w:hAnsi="宋体" w:cs="宋体"/>
                <w:i w:val="0"/>
                <w:iCs w:val="0"/>
                <w:color w:val="auto"/>
                <w:kern w:val="2"/>
                <w:sz w:val="21"/>
                <w:szCs w:val="21"/>
                <w:u w:val="none"/>
                <w:lang w:val="en-US" w:eastAsia="zh-CN" w:bidi="ar"/>
              </w:rPr>
              <w:t>80</w:t>
            </w:r>
            <w:r>
              <w:rPr>
                <w:rFonts w:hint="eastAsia" w:ascii="宋体" w:hAnsi="宋体" w:eastAsia="宋体" w:cs="宋体"/>
                <w:i w:val="0"/>
                <w:iCs w:val="0"/>
                <w:color w:val="auto"/>
                <w:kern w:val="2"/>
                <w:sz w:val="21"/>
                <w:szCs w:val="21"/>
                <w:u w:val="none"/>
                <w:lang w:val="en-US" w:eastAsia="zh-CN" w:bidi="ar"/>
              </w:rPr>
              <w:t xml:space="preserve">0 毫米，高 </w:t>
            </w:r>
            <w:r>
              <w:rPr>
                <w:rFonts w:hint="eastAsia" w:ascii="宋体" w:hAnsi="宋体" w:cs="宋体"/>
                <w:i w:val="0"/>
                <w:iCs w:val="0"/>
                <w:color w:val="auto"/>
                <w:kern w:val="2"/>
                <w:sz w:val="21"/>
                <w:szCs w:val="21"/>
                <w:u w:val="none"/>
                <w:lang w:val="en-US" w:eastAsia="zh-CN" w:bidi="ar"/>
              </w:rPr>
              <w:t>6</w:t>
            </w:r>
            <w:r>
              <w:rPr>
                <w:rFonts w:hint="eastAsia" w:ascii="宋体" w:hAnsi="宋体" w:eastAsia="宋体" w:cs="宋体"/>
                <w:i w:val="0"/>
                <w:iCs w:val="0"/>
                <w:color w:val="auto"/>
                <w:kern w:val="2"/>
                <w:sz w:val="21"/>
                <w:szCs w:val="21"/>
                <w:u w:val="none"/>
                <w:lang w:val="en-US" w:eastAsia="zh-CN" w:bidi="ar"/>
              </w:rPr>
              <w:t>00 毫米</w:t>
            </w:r>
          </w:p>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舱门闭合：</w:t>
            </w:r>
            <w:r>
              <w:rPr>
                <w:rFonts w:hint="eastAsia" w:ascii="宋体" w:hAnsi="宋体" w:eastAsia="宋体" w:cs="宋体"/>
                <w:i w:val="0"/>
                <w:iCs w:val="0"/>
                <w:color w:val="auto"/>
                <w:kern w:val="2"/>
                <w:sz w:val="21"/>
                <w:szCs w:val="21"/>
                <w:u w:val="none"/>
                <w:lang w:val="en-US" w:eastAsia="zh-CN" w:bidi="ar"/>
              </w:rPr>
              <w:t xml:space="preserve">≤长 </w:t>
            </w:r>
            <w:r>
              <w:rPr>
                <w:rFonts w:hint="eastAsia" w:ascii="宋体" w:hAnsi="宋体" w:cs="宋体"/>
                <w:i w:val="0"/>
                <w:iCs w:val="0"/>
                <w:color w:val="auto"/>
                <w:kern w:val="2"/>
                <w:sz w:val="21"/>
                <w:szCs w:val="21"/>
                <w:u w:val="none"/>
                <w:lang w:val="en-US" w:eastAsia="zh-CN" w:bidi="ar"/>
              </w:rPr>
              <w:t>700</w:t>
            </w:r>
            <w:r>
              <w:rPr>
                <w:rFonts w:hint="eastAsia" w:ascii="宋体" w:hAnsi="宋体" w:eastAsia="宋体" w:cs="宋体"/>
                <w:i w:val="0"/>
                <w:iCs w:val="0"/>
                <w:color w:val="auto"/>
                <w:kern w:val="2"/>
                <w:sz w:val="21"/>
                <w:szCs w:val="21"/>
                <w:u w:val="none"/>
                <w:lang w:val="en-US" w:eastAsia="zh-CN" w:bidi="ar"/>
              </w:rPr>
              <w:t xml:space="preserve"> 毫米，宽 </w:t>
            </w:r>
            <w:r>
              <w:rPr>
                <w:rFonts w:hint="eastAsia" w:ascii="宋体" w:hAnsi="宋体" w:cs="宋体"/>
                <w:i w:val="0"/>
                <w:iCs w:val="0"/>
                <w:color w:val="auto"/>
                <w:kern w:val="2"/>
                <w:sz w:val="21"/>
                <w:szCs w:val="21"/>
                <w:u w:val="none"/>
                <w:lang w:val="en-US" w:eastAsia="zh-CN" w:bidi="ar"/>
              </w:rPr>
              <w:t>800</w:t>
            </w:r>
            <w:r>
              <w:rPr>
                <w:rFonts w:hint="eastAsia" w:ascii="宋体" w:hAnsi="宋体" w:eastAsia="宋体" w:cs="宋体"/>
                <w:i w:val="0"/>
                <w:iCs w:val="0"/>
                <w:color w:val="auto"/>
                <w:kern w:val="2"/>
                <w:sz w:val="21"/>
                <w:szCs w:val="21"/>
                <w:u w:val="none"/>
                <w:lang w:val="en-US" w:eastAsia="zh-CN" w:bidi="ar"/>
              </w:rPr>
              <w:t xml:space="preserve"> 毫米，高 </w:t>
            </w:r>
            <w:r>
              <w:rPr>
                <w:rFonts w:hint="eastAsia" w:ascii="宋体" w:hAnsi="宋体" w:cs="宋体"/>
                <w:i w:val="0"/>
                <w:iCs w:val="0"/>
                <w:color w:val="auto"/>
                <w:kern w:val="2"/>
                <w:sz w:val="21"/>
                <w:szCs w:val="21"/>
                <w:u w:val="none"/>
                <w:lang w:val="en-US" w:eastAsia="zh-CN" w:bidi="ar"/>
              </w:rPr>
              <w:t>8</w:t>
            </w:r>
            <w:r>
              <w:rPr>
                <w:rFonts w:hint="eastAsia" w:ascii="宋体" w:hAnsi="宋体" w:eastAsia="宋体" w:cs="宋体"/>
                <w:i w:val="0"/>
                <w:iCs w:val="0"/>
                <w:color w:val="auto"/>
                <w:kern w:val="2"/>
                <w:sz w:val="21"/>
                <w:szCs w:val="21"/>
                <w:u w:val="none"/>
                <w:lang w:val="en-US" w:eastAsia="zh-CN" w:bidi="ar"/>
              </w:rPr>
              <w:t>00 毫米</w:t>
            </w:r>
          </w:p>
        </w:tc>
        <w:tc>
          <w:tcPr>
            <w:tcW w:w="1041" w:type="dxa"/>
            <w:vAlign w:val="center"/>
          </w:tcPr>
          <w:p>
            <w:pPr>
              <w:widowControl/>
              <w:jc w:val="center"/>
              <w:rPr>
                <w:rFonts w:hint="eastAsia" w:ascii="宋体" w:hAnsi="宋体" w:eastAsia="宋体" w:cs="宋体"/>
                <w:bCs/>
                <w:kern w:val="0"/>
                <w:szCs w:val="21"/>
              </w:rPr>
            </w:pPr>
          </w:p>
        </w:tc>
        <w:tc>
          <w:tcPr>
            <w:tcW w:w="1652"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cs="宋体"/>
                <w:szCs w:val="21"/>
                <w:highlight w:val="yellow"/>
              </w:rPr>
              <w:t>★</w:t>
            </w:r>
            <w:r>
              <w:rPr>
                <w:rFonts w:hint="eastAsia" w:ascii="宋体" w:hAnsi="宋体" w:eastAsia="宋体" w:cs="宋体"/>
                <w:i w:val="0"/>
                <w:iCs w:val="0"/>
                <w:color w:val="auto"/>
                <w:kern w:val="2"/>
                <w:sz w:val="21"/>
                <w:szCs w:val="21"/>
                <w:u w:val="none"/>
                <w:lang w:val="en-US" w:eastAsia="zh-CN" w:bidi="ar"/>
              </w:rPr>
              <w:t>整机重量</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千克</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w:t>
            </w:r>
            <w:r>
              <w:rPr>
                <w:rFonts w:hint="eastAsia" w:ascii="宋体" w:hAnsi="宋体" w:cs="宋体"/>
                <w:i w:val="0"/>
                <w:iCs w:val="0"/>
                <w:color w:val="auto"/>
                <w:kern w:val="2"/>
                <w:sz w:val="21"/>
                <w:szCs w:val="21"/>
                <w:u w:val="none"/>
                <w:lang w:val="en-US" w:eastAsia="zh-CN" w:bidi="ar"/>
              </w:rPr>
              <w:t>60</w:t>
            </w:r>
            <w:r>
              <w:rPr>
                <w:rFonts w:hint="eastAsia" w:ascii="宋体" w:hAnsi="宋体" w:eastAsia="宋体" w:cs="宋体"/>
                <w:i w:val="0"/>
                <w:iCs w:val="0"/>
                <w:color w:val="auto"/>
                <w:kern w:val="2"/>
                <w:sz w:val="21"/>
                <w:szCs w:val="21"/>
                <w:u w:val="none"/>
                <w:lang w:val="en-US" w:eastAsia="zh-CN" w:bidi="ar"/>
              </w:rPr>
              <w:t>kg</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机场内置空调类型</w:t>
            </w:r>
          </w:p>
        </w:tc>
        <w:tc>
          <w:tcPr>
            <w:tcW w:w="695"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压缩机空调</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机场支持的输入电压范围</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应在 100 至 240V（交流电），50/60Hz 范围内；</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5</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机场及无人机低温工作试验</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设备按GB/T 2423.1 -2008《电工电子产品环境 试验 第 2部分：试验方法 试验A：低温》进行电子产品环境试验，正常工作，外观和结构无损坏。</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6</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机场及无人机高温工作试验</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设备按GB/T 2423.1 -2008《电工电子产品环境 试验 第 2部分：试验方法 试验B：高温》进行电子产品环境试验，正常工作，外观和结构无损坏。</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7</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外壳防护试验（机场）</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≥IP54</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8</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外壳防护试验（无人机）</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≥IP54</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w:t>
            </w:r>
          </w:p>
        </w:tc>
        <w:tc>
          <w:tcPr>
            <w:tcW w:w="1734"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机场外部饰品监控相机</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≥1920</w:t>
            </w:r>
            <w:r>
              <w:rPr>
                <w:rFonts w:hint="eastAsia" w:ascii="宋体" w:hAnsi="宋体" w:eastAsia="宋体"/>
                <w:szCs w:val="21"/>
              </w:rPr>
              <w:t>*</w:t>
            </w:r>
            <w:r>
              <w:rPr>
                <w:rFonts w:hint="eastAsia" w:ascii="宋体" w:hAnsi="宋体" w:cs="宋体"/>
                <w:szCs w:val="21"/>
                <w:lang w:val="en-US" w:eastAsia="zh-CN" w:bidi="ar"/>
              </w:rPr>
              <w:t>1080</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10</w:t>
            </w:r>
          </w:p>
        </w:tc>
        <w:tc>
          <w:tcPr>
            <w:tcW w:w="1734"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机场备用电源续航时间</w:t>
            </w:r>
          </w:p>
        </w:tc>
        <w:tc>
          <w:tcPr>
            <w:tcW w:w="695"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h</w:t>
            </w:r>
          </w:p>
        </w:tc>
        <w:tc>
          <w:tcPr>
            <w:tcW w:w="3112"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≥4</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11</w:t>
            </w:r>
          </w:p>
        </w:tc>
        <w:tc>
          <w:tcPr>
            <w:tcW w:w="1734"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配套无人机</w:t>
            </w:r>
          </w:p>
        </w:tc>
        <w:tc>
          <w:tcPr>
            <w:tcW w:w="695"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1台</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12</w:t>
            </w:r>
          </w:p>
        </w:tc>
        <w:tc>
          <w:tcPr>
            <w:tcW w:w="1734"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无人机轴距</w:t>
            </w:r>
          </w:p>
        </w:tc>
        <w:tc>
          <w:tcPr>
            <w:tcW w:w="695"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mm</w:t>
            </w:r>
          </w:p>
        </w:tc>
        <w:tc>
          <w:tcPr>
            <w:tcW w:w="3112"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≤500</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13</w:t>
            </w:r>
          </w:p>
        </w:tc>
        <w:tc>
          <w:tcPr>
            <w:tcW w:w="1734"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最长飞行时间</w:t>
            </w:r>
          </w:p>
        </w:tc>
        <w:tc>
          <w:tcPr>
            <w:tcW w:w="695"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min</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≥45min</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14</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最大作业半径</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km</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≥8km</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15</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最大续航里程</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km</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≥40km</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16</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无人机尺寸</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mm</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≤400×500×300mm</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17</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highlight w:val="yellow"/>
              </w:rPr>
              <w:t>★</w:t>
            </w:r>
            <w:r>
              <w:rPr>
                <w:rFonts w:hint="eastAsia" w:ascii="宋体" w:hAnsi="宋体" w:cs="宋体"/>
                <w:szCs w:val="21"/>
                <w:lang w:val="en-US" w:eastAsia="zh-CN" w:bidi="ar"/>
              </w:rPr>
              <w:t>传感器像素</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有效像素≥2000万</w:t>
            </w:r>
          </w:p>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支持长焦相机，且有效像素≥1200万</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18</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红外传感器测温方式</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点测温、区域测温</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shd w:val="clear" w:color="auto" w:fill="auto"/>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19</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红外测温范围</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-20℃ ～ 150℃</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shd w:val="clear" w:color="auto" w:fill="auto"/>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w:t>
            </w:r>
          </w:p>
        </w:tc>
        <w:tc>
          <w:tcPr>
            <w:tcW w:w="1734"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红外测温精度</w:t>
            </w:r>
          </w:p>
        </w:tc>
        <w:tc>
          <w:tcPr>
            <w:tcW w:w="69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≤±2℃或≤±2%</w:t>
            </w:r>
          </w:p>
        </w:tc>
        <w:tc>
          <w:tcPr>
            <w:tcW w:w="1041"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p>
        </w:tc>
        <w:tc>
          <w:tcPr>
            <w:tcW w:w="1652" w:type="dxa"/>
            <w:shd w:val="clear" w:color="auto" w:fill="auto"/>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21</w:t>
            </w:r>
          </w:p>
        </w:tc>
        <w:tc>
          <w:tcPr>
            <w:tcW w:w="1734"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配套保险服务</w:t>
            </w:r>
          </w:p>
        </w:tc>
        <w:tc>
          <w:tcPr>
            <w:tcW w:w="695"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w:t>
            </w:r>
          </w:p>
        </w:tc>
        <w:tc>
          <w:tcPr>
            <w:tcW w:w="3112"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整机套装额度内的维修服务完全免费</w:t>
            </w:r>
          </w:p>
        </w:tc>
        <w:tc>
          <w:tcPr>
            <w:tcW w:w="1041"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p>
        </w:tc>
        <w:tc>
          <w:tcPr>
            <w:tcW w:w="1652" w:type="dxa"/>
            <w:shd w:val="clear" w:color="auto" w:fill="auto"/>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试验报告、说明书、保证函等</w:t>
            </w:r>
          </w:p>
        </w:tc>
      </w:tr>
    </w:tbl>
    <w:p>
      <w:pPr>
        <w:jc w:val="center"/>
        <w:rPr>
          <w:rFonts w:hint="eastAsia" w:ascii="宋体" w:hAnsi="宋体" w:eastAsia="宋体" w:cs="宋体"/>
          <w:szCs w:val="21"/>
          <w:lang w:eastAsia="zh-CN"/>
        </w:rPr>
      </w:pPr>
    </w:p>
    <w:p>
      <w:pPr>
        <w:jc w:val="center"/>
        <w:rPr>
          <w:rFonts w:hint="eastAsia" w:ascii="宋体" w:hAnsi="宋体" w:eastAsia="宋体" w:cs="宋体"/>
          <w:szCs w:val="21"/>
        </w:rPr>
      </w:pPr>
      <w:r>
        <w:rPr>
          <w:rFonts w:hint="eastAsia" w:ascii="宋体" w:hAnsi="宋体" w:eastAsia="宋体" w:cs="宋体"/>
          <w:szCs w:val="21"/>
          <w:lang w:eastAsia="zh-CN"/>
        </w:rPr>
        <w:t>表</w:t>
      </w:r>
      <w:r>
        <w:rPr>
          <w:rFonts w:hint="eastAsia" w:ascii="宋体" w:hAnsi="宋体" w:cs="宋体"/>
          <w:szCs w:val="21"/>
          <w:lang w:val="en-US" w:eastAsia="zh-CN"/>
        </w:rPr>
        <w:t>5</w:t>
      </w:r>
      <w:r>
        <w:rPr>
          <w:rFonts w:hint="eastAsia" w:ascii="宋体" w:hAnsi="宋体" w:eastAsia="宋体" w:cs="宋体"/>
          <w:szCs w:val="21"/>
        </w:rPr>
        <w:t>.</w:t>
      </w:r>
      <w:r>
        <w:rPr>
          <w:rFonts w:hint="eastAsia" w:ascii="宋体" w:hAnsi="宋体" w:cs="宋体"/>
          <w:szCs w:val="21"/>
          <w:lang w:val="en-US" w:eastAsia="zh-CN"/>
        </w:rPr>
        <w:t>2</w:t>
      </w:r>
      <w:r>
        <w:rPr>
          <w:rFonts w:hint="eastAsia" w:ascii="宋体" w:hAnsi="宋体" w:eastAsia="宋体" w:cs="宋体"/>
          <w:szCs w:val="21"/>
        </w:rPr>
        <w:t xml:space="preserve"> </w:t>
      </w:r>
      <w:r>
        <w:rPr>
          <w:rFonts w:hint="eastAsia" w:ascii="宋体" w:hAnsi="宋体" w:cs="宋体"/>
          <w:szCs w:val="21"/>
          <w:lang w:val="en-US" w:eastAsia="zh-CN"/>
        </w:rPr>
        <w:t>中继无人机套装</w:t>
      </w:r>
      <w:r>
        <w:rPr>
          <w:rFonts w:hint="eastAsia" w:ascii="宋体" w:hAnsi="宋体" w:eastAsia="宋体" w:cs="宋体"/>
          <w:szCs w:val="21"/>
        </w:rPr>
        <w:t xml:space="preserve">技术参数和性能要求响应表（投标方填写） </w:t>
      </w:r>
    </w:p>
    <w:tbl>
      <w:tblPr>
        <w:tblStyle w:val="10"/>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1</w:t>
            </w:r>
          </w:p>
        </w:tc>
        <w:tc>
          <w:tcPr>
            <w:tcW w:w="1641" w:type="dxa"/>
            <w:vAlign w:val="center"/>
          </w:tcPr>
          <w:p>
            <w:pPr>
              <w:keepNext w:val="0"/>
              <w:keepLines w:val="0"/>
              <w:widowControl/>
              <w:suppressLineNumbers w:val="0"/>
              <w:jc w:val="center"/>
              <w:textAlignment w:val="auto"/>
              <w:rPr>
                <w:rFonts w:hint="default" w:ascii="宋体" w:hAnsi="宋体" w:eastAsia="宋体" w:cs="宋体"/>
                <w:szCs w:val="21"/>
                <w:lang w:val="en-US"/>
              </w:rPr>
            </w:pPr>
            <w:r>
              <w:rPr>
                <w:rFonts w:hint="eastAsia" w:ascii="宋体" w:hAnsi="宋体" w:cs="宋体"/>
                <w:szCs w:val="21"/>
                <w:lang w:val="en-US" w:eastAsia="zh-CN" w:bidi="ar"/>
              </w:rPr>
              <w:t>适配机场</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cs="宋体"/>
                <w:i w:val="0"/>
                <w:iCs w:val="0"/>
                <w:color w:val="auto"/>
                <w:kern w:val="2"/>
                <w:sz w:val="21"/>
                <w:szCs w:val="21"/>
                <w:u w:val="none"/>
                <w:lang w:val="en-US" w:eastAsia="zh-CN" w:bidi="ar"/>
              </w:rPr>
              <w:t>是</w:t>
            </w:r>
          </w:p>
        </w:tc>
        <w:tc>
          <w:tcPr>
            <w:tcW w:w="989" w:type="dxa"/>
            <w:vAlign w:val="center"/>
          </w:tcPr>
          <w:p>
            <w:pPr>
              <w:widowControl/>
              <w:jc w:val="center"/>
              <w:rPr>
                <w:rFonts w:hint="eastAsia" w:ascii="宋体" w:hAnsi="宋体" w:eastAsia="宋体" w:cs="宋体"/>
                <w:bCs/>
                <w:kern w:val="0"/>
                <w:szCs w:val="21"/>
              </w:rPr>
            </w:pPr>
          </w:p>
        </w:tc>
        <w:tc>
          <w:tcPr>
            <w:tcW w:w="1649"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641" w:type="dxa"/>
            <w:vAlign w:val="center"/>
          </w:tcPr>
          <w:p>
            <w:pPr>
              <w:keepNext w:val="0"/>
              <w:keepLines w:val="0"/>
              <w:widowControl/>
              <w:suppressLineNumbers w:val="0"/>
              <w:jc w:val="center"/>
              <w:textAlignment w:val="auto"/>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对机场配套无人机进行中继对接</w:t>
            </w:r>
          </w:p>
        </w:tc>
        <w:tc>
          <w:tcPr>
            <w:tcW w:w="764"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是</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641"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无人机轴距</w:t>
            </w:r>
          </w:p>
        </w:tc>
        <w:tc>
          <w:tcPr>
            <w:tcW w:w="764"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mm</w:t>
            </w:r>
          </w:p>
        </w:tc>
        <w:tc>
          <w:tcPr>
            <w:tcW w:w="3116"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≤500</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641" w:type="dxa"/>
            <w:vAlign w:val="center"/>
          </w:tcPr>
          <w:p>
            <w:pPr>
              <w:keepNext w:val="0"/>
              <w:keepLines w:val="0"/>
              <w:widowControl/>
              <w:suppressLineNumbers w:val="0"/>
              <w:jc w:val="center"/>
              <w:textAlignment w:val="auto"/>
              <w:rPr>
                <w:rFonts w:hint="default" w:ascii="宋体" w:hAnsi="宋体" w:eastAsia="宋体" w:cs="宋体"/>
                <w:kern w:val="2"/>
                <w:sz w:val="21"/>
                <w:szCs w:val="21"/>
                <w:lang w:val="en-US" w:eastAsia="zh-CN" w:bidi="ar-SA"/>
              </w:rPr>
            </w:pPr>
            <w:r>
              <w:rPr>
                <w:rFonts w:hint="eastAsia" w:ascii="宋体" w:hAnsi="宋体" w:cs="宋体"/>
                <w:szCs w:val="21"/>
                <w:lang w:val="en-US" w:eastAsia="zh-CN"/>
              </w:rPr>
              <w:t>最长飞行时间</w:t>
            </w:r>
          </w:p>
        </w:tc>
        <w:tc>
          <w:tcPr>
            <w:tcW w:w="764"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min</w:t>
            </w:r>
          </w:p>
        </w:tc>
        <w:tc>
          <w:tcPr>
            <w:tcW w:w="3116"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≥35min</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5</w:t>
            </w:r>
          </w:p>
        </w:tc>
        <w:tc>
          <w:tcPr>
            <w:tcW w:w="1641"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最大作业半径</w:t>
            </w:r>
          </w:p>
        </w:tc>
        <w:tc>
          <w:tcPr>
            <w:tcW w:w="764"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km</w:t>
            </w:r>
          </w:p>
        </w:tc>
        <w:tc>
          <w:tcPr>
            <w:tcW w:w="3116"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≥8km</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w:t>
            </w:r>
          </w:p>
        </w:tc>
        <w:tc>
          <w:tcPr>
            <w:tcW w:w="1641"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最大续航里程</w:t>
            </w:r>
          </w:p>
        </w:tc>
        <w:tc>
          <w:tcPr>
            <w:tcW w:w="764"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km</w:t>
            </w:r>
          </w:p>
        </w:tc>
        <w:tc>
          <w:tcPr>
            <w:tcW w:w="3116"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≥40km</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7</w:t>
            </w:r>
          </w:p>
        </w:tc>
        <w:tc>
          <w:tcPr>
            <w:tcW w:w="1641"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无人机尺寸</w:t>
            </w:r>
          </w:p>
        </w:tc>
        <w:tc>
          <w:tcPr>
            <w:tcW w:w="764"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mm</w:t>
            </w:r>
          </w:p>
        </w:tc>
        <w:tc>
          <w:tcPr>
            <w:tcW w:w="3116"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≤400×500×300mm</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8</w:t>
            </w:r>
          </w:p>
        </w:tc>
        <w:tc>
          <w:tcPr>
            <w:tcW w:w="1641"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传感器像素</w:t>
            </w:r>
          </w:p>
        </w:tc>
        <w:tc>
          <w:tcPr>
            <w:tcW w:w="764"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有效像素≥2000万</w:t>
            </w:r>
          </w:p>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支持长焦相机，且有效像素≥1200万</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9</w:t>
            </w:r>
          </w:p>
        </w:tc>
        <w:tc>
          <w:tcPr>
            <w:tcW w:w="1641"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红外传感器测温方式</w:t>
            </w:r>
          </w:p>
        </w:tc>
        <w:tc>
          <w:tcPr>
            <w:tcW w:w="764"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点测温、区域测温</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w:t>
            </w:r>
          </w:p>
        </w:tc>
        <w:tc>
          <w:tcPr>
            <w:tcW w:w="1641"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红外测温范围</w:t>
            </w:r>
          </w:p>
        </w:tc>
        <w:tc>
          <w:tcPr>
            <w:tcW w:w="764"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-20℃ ～ 150℃</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w:t>
            </w:r>
          </w:p>
        </w:tc>
        <w:tc>
          <w:tcPr>
            <w:tcW w:w="1641"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红外测温精度</w:t>
            </w:r>
          </w:p>
        </w:tc>
        <w:tc>
          <w:tcPr>
            <w:tcW w:w="764"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≤±2℃或≤±2%</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12</w:t>
            </w:r>
          </w:p>
        </w:tc>
        <w:tc>
          <w:tcPr>
            <w:tcW w:w="1641" w:type="dxa"/>
            <w:vAlign w:val="center"/>
          </w:tcPr>
          <w:p>
            <w:pPr>
              <w:keepNext w:val="0"/>
              <w:keepLines w:val="0"/>
              <w:widowControl/>
              <w:suppressLineNumbers w:val="0"/>
              <w:jc w:val="center"/>
              <w:textAlignment w:val="auto"/>
              <w:rPr>
                <w:rFonts w:hint="default" w:ascii="宋体" w:hAnsi="宋体" w:cs="宋体"/>
                <w:szCs w:val="21"/>
                <w:lang w:val="en-US" w:eastAsia="zh-CN"/>
              </w:rPr>
            </w:pPr>
            <w:r>
              <w:rPr>
                <w:rFonts w:hint="eastAsia" w:ascii="宋体" w:hAnsi="宋体" w:cs="宋体"/>
                <w:szCs w:val="21"/>
                <w:lang w:val="en-US" w:eastAsia="zh-CN"/>
              </w:rPr>
              <w:t>配套遥控器</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是</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13</w:t>
            </w:r>
          </w:p>
        </w:tc>
        <w:tc>
          <w:tcPr>
            <w:tcW w:w="1641" w:type="dxa"/>
            <w:vAlign w:val="center"/>
          </w:tcPr>
          <w:p>
            <w:pPr>
              <w:keepNext w:val="0"/>
              <w:keepLines w:val="0"/>
              <w:widowControl/>
              <w:suppressLineNumbers w:val="0"/>
              <w:jc w:val="center"/>
              <w:textAlignment w:val="auto"/>
              <w:rPr>
                <w:rFonts w:hint="default" w:ascii="宋体" w:hAnsi="宋体" w:cs="宋体"/>
                <w:szCs w:val="21"/>
                <w:lang w:val="en-US" w:eastAsia="zh-CN"/>
              </w:rPr>
            </w:pPr>
            <w:r>
              <w:rPr>
                <w:rFonts w:hint="eastAsia" w:ascii="宋体" w:hAnsi="宋体" w:cs="宋体"/>
                <w:szCs w:val="21"/>
                <w:lang w:val="en-US" w:eastAsia="zh-CN"/>
              </w:rPr>
              <w:t>配套运输箱</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是</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14</w:t>
            </w:r>
          </w:p>
        </w:tc>
        <w:tc>
          <w:tcPr>
            <w:tcW w:w="1641" w:type="dxa"/>
            <w:vAlign w:val="center"/>
          </w:tcPr>
          <w:p>
            <w:pPr>
              <w:keepNext w:val="0"/>
              <w:keepLines w:val="0"/>
              <w:widowControl/>
              <w:suppressLineNumbers w:val="0"/>
              <w:jc w:val="center"/>
              <w:textAlignment w:val="auto"/>
              <w:rPr>
                <w:rFonts w:hint="default" w:ascii="宋体" w:hAnsi="宋体" w:eastAsia="宋体" w:cs="宋体"/>
                <w:kern w:val="2"/>
                <w:sz w:val="21"/>
                <w:szCs w:val="21"/>
                <w:lang w:val="en-US" w:eastAsia="zh-CN" w:bidi="ar"/>
              </w:rPr>
            </w:pPr>
            <w:r>
              <w:rPr>
                <w:rFonts w:hint="eastAsia" w:ascii="宋体" w:hAnsi="宋体" w:cs="宋体"/>
                <w:szCs w:val="21"/>
                <w:lang w:val="en-US" w:eastAsia="zh-CN" w:bidi="ar"/>
              </w:rPr>
              <w:t>配套保险服务</w:t>
            </w:r>
          </w:p>
        </w:tc>
        <w:tc>
          <w:tcPr>
            <w:tcW w:w="764"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整机套装额度内的维修服务完全免费</w:t>
            </w:r>
          </w:p>
        </w:tc>
        <w:tc>
          <w:tcPr>
            <w:tcW w:w="989"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p>
        </w:tc>
        <w:tc>
          <w:tcPr>
            <w:tcW w:w="1649"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
              </w:rPr>
            </w:pPr>
            <w:r>
              <w:rPr>
                <w:rFonts w:hint="eastAsia" w:ascii="宋体" w:hAnsi="宋体" w:cs="宋体"/>
                <w:szCs w:val="21"/>
                <w:lang w:val="en-US" w:eastAsia="zh-CN" w:bidi="ar"/>
              </w:rPr>
              <w:t>试验报告、说明书、保证函等</w:t>
            </w:r>
          </w:p>
        </w:tc>
      </w:tr>
    </w:tbl>
    <w:p>
      <w:pPr>
        <w:jc w:val="left"/>
        <w:rPr>
          <w:rFonts w:hint="eastAsia" w:ascii="宋体" w:hAnsi="宋体" w:eastAsia="宋体" w:cs="宋体"/>
          <w:szCs w:val="21"/>
        </w:rPr>
      </w:pPr>
    </w:p>
    <w:p>
      <w:pPr>
        <w:jc w:val="center"/>
        <w:rPr>
          <w:rFonts w:hint="eastAsia" w:ascii="宋体" w:hAnsi="宋体" w:eastAsia="宋体" w:cs="宋体"/>
          <w:szCs w:val="21"/>
        </w:rPr>
      </w:pPr>
      <w:r>
        <w:rPr>
          <w:rFonts w:hint="eastAsia" w:ascii="宋体" w:hAnsi="宋体" w:eastAsia="宋体" w:cs="宋体"/>
          <w:szCs w:val="21"/>
          <w:lang w:eastAsia="zh-CN"/>
        </w:rPr>
        <w:t>表</w:t>
      </w:r>
      <w:r>
        <w:rPr>
          <w:rFonts w:hint="eastAsia" w:ascii="宋体" w:hAnsi="宋体" w:cs="宋体"/>
          <w:szCs w:val="21"/>
          <w:lang w:val="en-US" w:eastAsia="zh-CN"/>
        </w:rPr>
        <w:t>5</w:t>
      </w:r>
      <w:r>
        <w:rPr>
          <w:rFonts w:hint="eastAsia" w:ascii="宋体" w:hAnsi="宋体" w:eastAsia="宋体" w:cs="宋体"/>
          <w:szCs w:val="21"/>
        </w:rPr>
        <w:t>.</w:t>
      </w:r>
      <w:r>
        <w:rPr>
          <w:rFonts w:hint="eastAsia" w:ascii="宋体" w:hAnsi="宋体" w:cs="宋体"/>
          <w:szCs w:val="21"/>
          <w:lang w:val="en-US" w:eastAsia="zh-CN"/>
        </w:rPr>
        <w:t>3</w:t>
      </w:r>
      <w:r>
        <w:rPr>
          <w:rFonts w:hint="eastAsia" w:ascii="宋体" w:hAnsi="宋体" w:eastAsia="宋体" w:cs="宋体"/>
          <w:szCs w:val="21"/>
        </w:rPr>
        <w:t xml:space="preserve">  </w:t>
      </w:r>
      <w:r>
        <w:rPr>
          <w:rFonts w:hint="eastAsia" w:ascii="宋体" w:hAnsi="宋体" w:cs="宋体"/>
          <w:szCs w:val="21"/>
          <w:lang w:val="en-US" w:eastAsia="zh-CN"/>
        </w:rPr>
        <w:t>机场配件</w:t>
      </w:r>
      <w:r>
        <w:rPr>
          <w:rFonts w:hint="eastAsia" w:ascii="宋体" w:hAnsi="宋体" w:eastAsia="宋体" w:cs="宋体"/>
          <w:szCs w:val="21"/>
        </w:rPr>
        <w:t xml:space="preserve">技术参数和性能要求响应表（投标方填写） </w:t>
      </w:r>
    </w:p>
    <w:tbl>
      <w:tblPr>
        <w:tblStyle w:val="10"/>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1</w:t>
            </w:r>
          </w:p>
        </w:tc>
        <w:tc>
          <w:tcPr>
            <w:tcW w:w="1641" w:type="dxa"/>
            <w:vAlign w:val="center"/>
          </w:tcPr>
          <w:p>
            <w:pPr>
              <w:keepNext w:val="0"/>
              <w:keepLines w:val="0"/>
              <w:widowControl/>
              <w:suppressLineNumbers w:val="0"/>
              <w:jc w:val="center"/>
              <w:textAlignment w:val="auto"/>
              <w:rPr>
                <w:rFonts w:hint="default" w:ascii="宋体" w:hAnsi="宋体" w:eastAsia="宋体" w:cs="宋体"/>
                <w:szCs w:val="21"/>
                <w:lang w:val="en-US"/>
              </w:rPr>
            </w:pPr>
            <w:r>
              <w:rPr>
                <w:rFonts w:hint="eastAsia" w:ascii="宋体" w:hAnsi="宋体" w:cs="宋体"/>
                <w:i w:val="0"/>
                <w:iCs w:val="0"/>
                <w:color w:val="auto"/>
                <w:kern w:val="2"/>
                <w:sz w:val="21"/>
                <w:szCs w:val="21"/>
                <w:u w:val="none"/>
                <w:lang w:val="en-US" w:eastAsia="zh-CN" w:bidi="ar"/>
              </w:rPr>
              <w:t>遥控器</w:t>
            </w:r>
          </w:p>
        </w:tc>
        <w:tc>
          <w:tcPr>
            <w:tcW w:w="764" w:type="dxa"/>
            <w:vAlign w:val="center"/>
          </w:tcPr>
          <w:p>
            <w:pPr>
              <w:keepNext w:val="0"/>
              <w:keepLines w:val="0"/>
              <w:widowControl/>
              <w:suppressLineNumbers w:val="0"/>
              <w:jc w:val="center"/>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屏幕亮度</w:t>
            </w:r>
            <w:r>
              <w:rPr>
                <w:rFonts w:hint="eastAsia" w:ascii="宋体" w:hAnsi="宋体" w:eastAsia="宋体" w:cs="宋体"/>
                <w:i w:val="0"/>
                <w:iCs w:val="0"/>
                <w:color w:val="auto"/>
                <w:kern w:val="2"/>
                <w:sz w:val="21"/>
                <w:szCs w:val="21"/>
                <w:u w:val="none"/>
                <w:lang w:val="en-US" w:eastAsia="zh-CN" w:bidi="ar"/>
              </w:rPr>
              <w:t xml:space="preserve">≥ 2000 </w:t>
            </w:r>
            <w:r>
              <w:rPr>
                <w:rFonts w:hint="eastAsia" w:ascii="宋体" w:hAnsi="宋体" w:cs="宋体"/>
                <w:i w:val="0"/>
                <w:iCs w:val="0"/>
                <w:color w:val="auto"/>
                <w:kern w:val="2"/>
                <w:sz w:val="21"/>
                <w:szCs w:val="21"/>
                <w:u w:val="none"/>
                <w:lang w:val="en-US" w:eastAsia="zh-CN" w:bidi="ar"/>
              </w:rPr>
              <w:t>nits</w:t>
            </w:r>
          </w:p>
          <w:p>
            <w:pPr>
              <w:keepNext w:val="0"/>
              <w:keepLines w:val="0"/>
              <w:widowControl/>
              <w:suppressLineNumbers w:val="0"/>
              <w:jc w:val="center"/>
              <w:textAlignment w:val="auto"/>
              <w:rPr>
                <w:rFonts w:hint="default"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续航</w:t>
            </w:r>
            <w:r>
              <w:rPr>
                <w:rFonts w:hint="eastAsia" w:ascii="宋体" w:hAnsi="宋体" w:eastAsia="宋体" w:cs="宋体"/>
                <w:i w:val="0"/>
                <w:iCs w:val="0"/>
                <w:color w:val="auto"/>
                <w:kern w:val="2"/>
                <w:sz w:val="21"/>
                <w:szCs w:val="21"/>
                <w:u w:val="none"/>
                <w:lang w:val="en-US" w:eastAsia="zh-CN" w:bidi="ar"/>
              </w:rPr>
              <w:t xml:space="preserve">≥ </w:t>
            </w:r>
            <w:r>
              <w:rPr>
                <w:rFonts w:hint="eastAsia" w:ascii="宋体" w:hAnsi="宋体" w:cs="宋体"/>
                <w:i w:val="0"/>
                <w:iCs w:val="0"/>
                <w:color w:val="auto"/>
                <w:kern w:val="2"/>
                <w:sz w:val="21"/>
                <w:szCs w:val="21"/>
                <w:u w:val="none"/>
                <w:lang w:val="en-US" w:eastAsia="zh-CN" w:bidi="ar"/>
              </w:rPr>
              <w:t>3h</w:t>
            </w:r>
          </w:p>
        </w:tc>
        <w:tc>
          <w:tcPr>
            <w:tcW w:w="989" w:type="dxa"/>
            <w:vAlign w:val="center"/>
          </w:tcPr>
          <w:p>
            <w:pPr>
              <w:widowControl/>
              <w:jc w:val="center"/>
              <w:rPr>
                <w:rFonts w:hint="eastAsia" w:ascii="宋体" w:hAnsi="宋体" w:eastAsia="宋体" w:cs="宋体"/>
                <w:bCs/>
                <w:kern w:val="0"/>
                <w:szCs w:val="21"/>
              </w:rPr>
            </w:pPr>
          </w:p>
        </w:tc>
        <w:tc>
          <w:tcPr>
            <w:tcW w:w="1649"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Cs w:val="21"/>
              </w:rPr>
              <w:t>2</w:t>
            </w:r>
          </w:p>
        </w:tc>
        <w:tc>
          <w:tcPr>
            <w:tcW w:w="1641"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机场用光伏板</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功率≤300W</w:t>
            </w:r>
          </w:p>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电压≤48V</w:t>
            </w:r>
          </w:p>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使用寿命≥10年</w:t>
            </w:r>
          </w:p>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Cs w:val="21"/>
              </w:rPr>
              <w:t>重量≤20KG</w:t>
            </w:r>
          </w:p>
        </w:tc>
        <w:tc>
          <w:tcPr>
            <w:tcW w:w="989" w:type="dxa"/>
            <w:vAlign w:val="center"/>
          </w:tcPr>
          <w:p>
            <w:pPr>
              <w:widowControl/>
              <w:jc w:val="center"/>
              <w:rPr>
                <w:rFonts w:hint="eastAsia" w:ascii="宋体" w:hAnsi="宋体" w:eastAsia="宋体" w:cs="宋体"/>
                <w:kern w:val="0"/>
                <w:sz w:val="21"/>
                <w:szCs w:val="21"/>
                <w:lang w:val="en-US" w:eastAsia="zh-CN" w:bidi="ar-SA"/>
              </w:rPr>
            </w:pPr>
          </w:p>
        </w:tc>
        <w:tc>
          <w:tcPr>
            <w:tcW w:w="1649"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Cs w:val="21"/>
              </w:rPr>
              <w:t>3</w:t>
            </w:r>
          </w:p>
        </w:tc>
        <w:tc>
          <w:tcPr>
            <w:tcW w:w="1641"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机场用蓄电池</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最大持续充电≥45A</w:t>
            </w:r>
          </w:p>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重量≤30KG</w:t>
            </w:r>
          </w:p>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Cs w:val="21"/>
              </w:rPr>
              <w:t>可循环次数≥5000次</w:t>
            </w:r>
          </w:p>
        </w:tc>
        <w:tc>
          <w:tcPr>
            <w:tcW w:w="989" w:type="dxa"/>
            <w:vAlign w:val="center"/>
          </w:tcPr>
          <w:p>
            <w:pPr>
              <w:widowControl/>
              <w:jc w:val="center"/>
              <w:rPr>
                <w:rFonts w:hint="eastAsia" w:ascii="宋体" w:hAnsi="宋体" w:eastAsia="宋体" w:cs="宋体"/>
                <w:kern w:val="0"/>
                <w:sz w:val="21"/>
                <w:szCs w:val="21"/>
                <w:lang w:val="en-US" w:eastAsia="zh-CN" w:bidi="ar-SA"/>
              </w:rPr>
            </w:pPr>
          </w:p>
        </w:tc>
        <w:tc>
          <w:tcPr>
            <w:tcW w:w="1649" w:type="dxa"/>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641" w:type="dxa"/>
            <w:vAlign w:val="center"/>
          </w:tcPr>
          <w:p>
            <w:pPr>
              <w:keepNext w:val="0"/>
              <w:keepLines w:val="0"/>
              <w:widowControl/>
              <w:suppressLineNumbers w:val="0"/>
              <w:jc w:val="center"/>
              <w:textAlignment w:val="auto"/>
              <w:rPr>
                <w:rFonts w:hint="default" w:ascii="宋体" w:hAnsi="宋体" w:eastAsia="宋体" w:cs="宋体"/>
                <w:kern w:val="2"/>
                <w:sz w:val="21"/>
                <w:szCs w:val="21"/>
                <w:lang w:val="en-US" w:eastAsia="zh-CN" w:bidi="ar-SA"/>
              </w:rPr>
            </w:pPr>
            <w:r>
              <w:rPr>
                <w:rFonts w:hint="eastAsia" w:ascii="宋体" w:hAnsi="宋体" w:cs="宋体"/>
                <w:szCs w:val="21"/>
                <w:lang w:val="en-US" w:eastAsia="zh-CN" w:bidi="ar"/>
              </w:rPr>
              <w:t>信号增强模块</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增强图传质量与通信质量</w:t>
            </w:r>
          </w:p>
        </w:tc>
        <w:tc>
          <w:tcPr>
            <w:tcW w:w="989" w:type="dxa"/>
            <w:vAlign w:val="center"/>
          </w:tcPr>
          <w:p>
            <w:pPr>
              <w:widowControl/>
              <w:jc w:val="center"/>
              <w:rPr>
                <w:rFonts w:hint="eastAsia" w:ascii="宋体" w:hAnsi="宋体" w:eastAsia="宋体" w:cs="宋体"/>
                <w:kern w:val="0"/>
                <w:sz w:val="21"/>
                <w:szCs w:val="21"/>
                <w:lang w:val="en-US" w:eastAsia="zh-CN" w:bidi="ar-SA"/>
              </w:rPr>
            </w:pPr>
          </w:p>
        </w:tc>
        <w:tc>
          <w:tcPr>
            <w:tcW w:w="1649"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5</w:t>
            </w:r>
          </w:p>
        </w:tc>
        <w:tc>
          <w:tcPr>
            <w:tcW w:w="1641" w:type="dxa"/>
            <w:vAlign w:val="center"/>
          </w:tcPr>
          <w:p>
            <w:pPr>
              <w:keepNext w:val="0"/>
              <w:keepLines w:val="0"/>
              <w:widowControl/>
              <w:suppressLineNumbers w:val="0"/>
              <w:jc w:val="center"/>
              <w:textAlignment w:val="auto"/>
              <w:rPr>
                <w:rFonts w:hint="default" w:ascii="宋体" w:hAnsi="宋体" w:eastAsia="宋体" w:cs="宋体"/>
                <w:kern w:val="2"/>
                <w:sz w:val="21"/>
                <w:szCs w:val="21"/>
                <w:lang w:val="en-US" w:eastAsia="zh-CN" w:bidi="ar-SA"/>
              </w:rPr>
            </w:pPr>
            <w:r>
              <w:rPr>
                <w:rFonts w:hint="eastAsia" w:ascii="宋体" w:hAnsi="宋体" w:cs="宋体"/>
                <w:szCs w:val="21"/>
                <w:lang w:val="en-US" w:eastAsia="zh-CN" w:bidi="ar"/>
              </w:rPr>
              <w:t>中继增强模块</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重量：2.5kg</w:t>
            </w:r>
          </w:p>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Cs w:val="21"/>
              </w:rPr>
              <w:t>防护等级：IP67</w:t>
            </w:r>
          </w:p>
        </w:tc>
        <w:tc>
          <w:tcPr>
            <w:tcW w:w="989" w:type="dxa"/>
            <w:vAlign w:val="center"/>
          </w:tcPr>
          <w:p>
            <w:pPr>
              <w:widowControl/>
              <w:jc w:val="center"/>
              <w:rPr>
                <w:rFonts w:hint="eastAsia" w:ascii="宋体" w:hAnsi="宋体" w:eastAsia="宋体" w:cs="宋体"/>
                <w:kern w:val="0"/>
                <w:sz w:val="21"/>
                <w:szCs w:val="21"/>
                <w:lang w:val="en-US" w:eastAsia="zh-CN" w:bidi="ar-SA"/>
              </w:rPr>
            </w:pPr>
          </w:p>
        </w:tc>
        <w:tc>
          <w:tcPr>
            <w:tcW w:w="1649" w:type="dxa"/>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w:t>
            </w:r>
          </w:p>
        </w:tc>
        <w:tc>
          <w:tcPr>
            <w:tcW w:w="1641" w:type="dxa"/>
            <w:vAlign w:val="center"/>
          </w:tcPr>
          <w:p>
            <w:pPr>
              <w:keepNext w:val="0"/>
              <w:keepLines w:val="0"/>
              <w:widowControl/>
              <w:suppressLineNumbers w:val="0"/>
              <w:jc w:val="center"/>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避障雷达</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cs="宋体"/>
                <w:szCs w:val="21"/>
                <w:lang w:val="en-US" w:eastAsia="zh-CN"/>
              </w:rPr>
            </w:pPr>
            <w:r>
              <w:rPr>
                <w:rFonts w:hint="eastAsia" w:ascii="宋体" w:hAnsi="宋体" w:cs="宋体"/>
                <w:szCs w:val="21"/>
                <w:lang w:val="en-US" w:eastAsia="zh-CN"/>
              </w:rPr>
              <w:t>尺寸≤110</w:t>
            </w:r>
            <w:r>
              <w:rPr>
                <w:rFonts w:hint="eastAsia" w:ascii="宋体" w:hAnsi="宋体" w:eastAsia="宋体"/>
                <w:szCs w:val="21"/>
              </w:rPr>
              <w:t>*</w:t>
            </w:r>
            <w:r>
              <w:rPr>
                <w:rFonts w:hint="eastAsia" w:ascii="宋体" w:hAnsi="宋体" w:cs="宋体"/>
                <w:szCs w:val="21"/>
                <w:lang w:val="en-US" w:eastAsia="zh-CN"/>
              </w:rPr>
              <w:t>70</w:t>
            </w:r>
            <w:r>
              <w:rPr>
                <w:rFonts w:hint="eastAsia" w:ascii="宋体" w:hAnsi="宋体" w:eastAsia="宋体"/>
                <w:szCs w:val="21"/>
              </w:rPr>
              <w:t>*</w:t>
            </w:r>
            <w:r>
              <w:rPr>
                <w:rFonts w:hint="eastAsia" w:ascii="宋体" w:hAnsi="宋体" w:cs="宋体"/>
                <w:szCs w:val="21"/>
                <w:lang w:val="en-US" w:eastAsia="zh-CN"/>
              </w:rPr>
              <w:t>90mm</w:t>
            </w:r>
          </w:p>
          <w:p>
            <w:pPr>
              <w:keepNext w:val="0"/>
              <w:keepLines w:val="0"/>
              <w:widowControl/>
              <w:suppressLineNumbers w:val="0"/>
              <w:jc w:val="center"/>
              <w:textAlignment w:val="auto"/>
              <w:rPr>
                <w:rFonts w:hint="default" w:ascii="宋体" w:hAnsi="宋体" w:cs="宋体"/>
                <w:szCs w:val="21"/>
                <w:lang w:val="en-US" w:eastAsia="zh-CN"/>
              </w:rPr>
            </w:pPr>
            <w:r>
              <w:rPr>
                <w:rFonts w:hint="eastAsia" w:ascii="宋体" w:hAnsi="宋体" w:eastAsia="宋体" w:cs="宋体"/>
                <w:szCs w:val="21"/>
              </w:rPr>
              <w:t>重量≤</w:t>
            </w:r>
            <w:r>
              <w:rPr>
                <w:rFonts w:hint="eastAsia" w:ascii="宋体" w:hAnsi="宋体" w:eastAsia="宋体" w:cs="宋体"/>
                <w:szCs w:val="21"/>
                <w:lang w:val="en-US" w:eastAsia="zh-CN"/>
              </w:rPr>
              <w:t>3</w:t>
            </w:r>
            <w:r>
              <w:rPr>
                <w:rFonts w:hint="eastAsia" w:ascii="宋体" w:hAnsi="宋体" w:eastAsia="宋体" w:cs="宋体"/>
                <w:szCs w:val="21"/>
              </w:rPr>
              <w:t>KG</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7</w:t>
            </w:r>
          </w:p>
        </w:tc>
        <w:tc>
          <w:tcPr>
            <w:tcW w:w="1641"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勘灾补能模块</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bCs/>
                <w:color w:val="auto"/>
                <w:sz w:val="22"/>
              </w:rPr>
            </w:pPr>
            <w:r>
              <w:rPr>
                <w:rFonts w:hint="eastAsia" w:ascii="宋体" w:hAnsi="宋体" w:eastAsia="宋体" w:cs="宋体"/>
                <w:bCs/>
                <w:color w:val="auto"/>
                <w:sz w:val="22"/>
                <w:lang w:val="en-US" w:eastAsia="zh-CN"/>
              </w:rPr>
              <w:t>尺寸</w:t>
            </w:r>
            <w:r>
              <w:rPr>
                <w:rFonts w:hint="eastAsia" w:ascii="宋体" w:hAnsi="宋体" w:eastAsia="宋体" w:cs="宋体"/>
                <w:bCs/>
                <w:color w:val="auto"/>
                <w:sz w:val="22"/>
              </w:rPr>
              <w:t>≤48</w:t>
            </w:r>
            <w:r>
              <w:rPr>
                <w:rFonts w:hint="eastAsia" w:ascii="宋体" w:hAnsi="宋体" w:eastAsia="宋体" w:cs="宋体"/>
                <w:bCs/>
                <w:color w:val="auto"/>
                <w:sz w:val="22"/>
                <w:lang w:val="en-US" w:eastAsia="zh-CN"/>
              </w:rPr>
              <w:t>5</w:t>
            </w:r>
            <w:r>
              <w:rPr>
                <w:rFonts w:hint="eastAsia" w:ascii="宋体" w:hAnsi="宋体" w:eastAsia="宋体" w:cs="宋体"/>
                <w:bCs/>
                <w:color w:val="auto"/>
                <w:sz w:val="22"/>
              </w:rPr>
              <w:t>mmx38</w:t>
            </w:r>
            <w:r>
              <w:rPr>
                <w:rFonts w:hint="eastAsia" w:ascii="宋体" w:hAnsi="宋体" w:eastAsia="宋体" w:cs="宋体"/>
                <w:bCs/>
                <w:color w:val="auto"/>
                <w:sz w:val="22"/>
                <w:lang w:val="en-US" w:eastAsia="zh-CN"/>
              </w:rPr>
              <w:t>5</w:t>
            </w:r>
            <w:r>
              <w:rPr>
                <w:rFonts w:hint="eastAsia" w:ascii="宋体" w:hAnsi="宋体" w:eastAsia="宋体" w:cs="宋体"/>
                <w:bCs/>
                <w:color w:val="auto"/>
                <w:sz w:val="22"/>
              </w:rPr>
              <w:t>mmx2</w:t>
            </w:r>
            <w:r>
              <w:rPr>
                <w:rFonts w:hint="eastAsia" w:ascii="宋体" w:hAnsi="宋体" w:eastAsia="宋体" w:cs="宋体"/>
                <w:bCs/>
                <w:color w:val="auto"/>
                <w:sz w:val="22"/>
                <w:lang w:val="en-US" w:eastAsia="zh-CN"/>
              </w:rPr>
              <w:t>55</w:t>
            </w:r>
            <w:r>
              <w:rPr>
                <w:rFonts w:hint="eastAsia" w:ascii="宋体" w:hAnsi="宋体" w:eastAsia="宋体" w:cs="宋体"/>
                <w:bCs/>
                <w:color w:val="auto"/>
                <w:sz w:val="22"/>
              </w:rPr>
              <w:t>mm</w:t>
            </w:r>
          </w:p>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eastAsia="宋体" w:cs="宋体"/>
                <w:bCs/>
                <w:color w:val="auto"/>
                <w:sz w:val="22"/>
                <w:lang w:val="en-US" w:eastAsia="zh-CN"/>
              </w:rPr>
              <w:t>悬停时间</w:t>
            </w:r>
            <w:r>
              <w:rPr>
                <w:rFonts w:hint="eastAsia" w:ascii="宋体" w:hAnsi="宋体" w:eastAsia="宋体" w:cs="宋体"/>
                <w:szCs w:val="21"/>
              </w:rPr>
              <w:t>≥</w:t>
            </w:r>
            <w:r>
              <w:rPr>
                <w:rFonts w:hint="eastAsia" w:ascii="宋体" w:hAnsi="宋体" w:eastAsia="宋体" w:cs="宋体"/>
                <w:szCs w:val="21"/>
                <w:lang w:val="en-US" w:eastAsia="zh-CN"/>
              </w:rPr>
              <w:t>12h</w:t>
            </w:r>
          </w:p>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Cs w:val="21"/>
                <w:lang w:val="en-US" w:eastAsia="zh-CN"/>
              </w:rPr>
              <w:t>机载模块</w:t>
            </w:r>
            <w:r>
              <w:rPr>
                <w:rFonts w:hint="eastAsia" w:ascii="宋体" w:hAnsi="宋体" w:eastAsia="宋体" w:cs="宋体"/>
                <w:bCs/>
                <w:color w:val="auto"/>
                <w:sz w:val="22"/>
              </w:rPr>
              <w:t>≤</w:t>
            </w:r>
            <w:r>
              <w:rPr>
                <w:rFonts w:hint="eastAsia" w:ascii="宋体" w:hAnsi="宋体" w:eastAsia="宋体" w:cs="宋体"/>
                <w:bCs/>
                <w:color w:val="auto"/>
                <w:sz w:val="22"/>
                <w:lang w:val="en-US" w:eastAsia="zh-CN"/>
              </w:rPr>
              <w:t>40</w:t>
            </w:r>
            <w:r>
              <w:rPr>
                <w:rFonts w:hint="eastAsia" w:ascii="宋体" w:hAnsi="宋体" w:eastAsia="宋体" w:cs="宋体"/>
                <w:bCs/>
                <w:color w:val="auto"/>
                <w:sz w:val="22"/>
              </w:rPr>
              <w:t>0g</w:t>
            </w:r>
          </w:p>
        </w:tc>
        <w:tc>
          <w:tcPr>
            <w:tcW w:w="989" w:type="dxa"/>
            <w:vAlign w:val="center"/>
          </w:tcPr>
          <w:p>
            <w:pPr>
              <w:widowControl/>
              <w:jc w:val="center"/>
              <w:rPr>
                <w:rFonts w:hint="eastAsia" w:ascii="宋体" w:hAnsi="宋体" w:eastAsia="宋体" w:cs="宋体"/>
                <w:kern w:val="0"/>
                <w:sz w:val="21"/>
                <w:szCs w:val="21"/>
                <w:lang w:val="en-US" w:eastAsia="zh-CN" w:bidi="ar-SA"/>
              </w:rPr>
            </w:pPr>
          </w:p>
        </w:tc>
        <w:tc>
          <w:tcPr>
            <w:tcW w:w="1649"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8</w:t>
            </w:r>
          </w:p>
        </w:tc>
        <w:tc>
          <w:tcPr>
            <w:tcW w:w="1641" w:type="dxa"/>
            <w:vAlign w:val="center"/>
          </w:tcPr>
          <w:p>
            <w:pPr>
              <w:keepNext w:val="0"/>
              <w:keepLines w:val="0"/>
              <w:widowControl/>
              <w:suppressLineNumbers w:val="0"/>
              <w:jc w:val="center"/>
              <w:textAlignment w:val="auto"/>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勘灾补能模块无人机套装</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bCs/>
                <w:color w:val="auto"/>
                <w:sz w:val="22"/>
              </w:rPr>
            </w:pPr>
            <w:r>
              <w:rPr>
                <w:rFonts w:hint="eastAsia" w:ascii="宋体" w:hAnsi="宋体" w:eastAsia="宋体" w:cs="宋体"/>
                <w:bCs/>
                <w:color w:val="auto"/>
                <w:sz w:val="22"/>
                <w:lang w:val="en-US" w:eastAsia="zh-CN"/>
              </w:rPr>
              <w:t>尺寸</w:t>
            </w:r>
            <w:r>
              <w:rPr>
                <w:rFonts w:hint="eastAsia" w:ascii="宋体" w:hAnsi="宋体" w:eastAsia="宋体" w:cs="宋体"/>
                <w:bCs/>
                <w:color w:val="auto"/>
                <w:sz w:val="22"/>
              </w:rPr>
              <w:t>≤48</w:t>
            </w:r>
            <w:r>
              <w:rPr>
                <w:rFonts w:hint="eastAsia" w:ascii="宋体" w:hAnsi="宋体" w:eastAsia="宋体" w:cs="宋体"/>
                <w:bCs/>
                <w:color w:val="auto"/>
                <w:sz w:val="22"/>
                <w:lang w:val="en-US" w:eastAsia="zh-CN"/>
              </w:rPr>
              <w:t>5</w:t>
            </w:r>
            <w:r>
              <w:rPr>
                <w:rFonts w:hint="eastAsia" w:ascii="宋体" w:hAnsi="宋体" w:eastAsia="宋体" w:cs="宋体"/>
                <w:bCs/>
                <w:color w:val="auto"/>
                <w:sz w:val="22"/>
              </w:rPr>
              <w:t>mmx38</w:t>
            </w:r>
            <w:r>
              <w:rPr>
                <w:rFonts w:hint="eastAsia" w:ascii="宋体" w:hAnsi="宋体" w:eastAsia="宋体" w:cs="宋体"/>
                <w:bCs/>
                <w:color w:val="auto"/>
                <w:sz w:val="22"/>
                <w:lang w:val="en-US" w:eastAsia="zh-CN"/>
              </w:rPr>
              <w:t>5</w:t>
            </w:r>
            <w:r>
              <w:rPr>
                <w:rFonts w:hint="eastAsia" w:ascii="宋体" w:hAnsi="宋体" w:eastAsia="宋体" w:cs="宋体"/>
                <w:bCs/>
                <w:color w:val="auto"/>
                <w:sz w:val="22"/>
              </w:rPr>
              <w:t>mmx2</w:t>
            </w:r>
            <w:r>
              <w:rPr>
                <w:rFonts w:hint="eastAsia" w:ascii="宋体" w:hAnsi="宋体" w:eastAsia="宋体" w:cs="宋体"/>
                <w:bCs/>
                <w:color w:val="auto"/>
                <w:sz w:val="22"/>
                <w:lang w:val="en-US" w:eastAsia="zh-CN"/>
              </w:rPr>
              <w:t>55</w:t>
            </w:r>
            <w:r>
              <w:rPr>
                <w:rFonts w:hint="eastAsia" w:ascii="宋体" w:hAnsi="宋体" w:eastAsia="宋体" w:cs="宋体"/>
                <w:bCs/>
                <w:color w:val="auto"/>
                <w:sz w:val="22"/>
              </w:rPr>
              <w:t>mm</w:t>
            </w:r>
          </w:p>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eastAsia="宋体" w:cs="宋体"/>
                <w:bCs/>
                <w:color w:val="auto"/>
                <w:sz w:val="22"/>
                <w:lang w:val="en-US" w:eastAsia="zh-CN"/>
              </w:rPr>
              <w:t>悬停时间</w:t>
            </w:r>
            <w:r>
              <w:rPr>
                <w:rFonts w:hint="eastAsia" w:ascii="宋体" w:hAnsi="宋体" w:eastAsia="宋体" w:cs="宋体"/>
                <w:szCs w:val="21"/>
              </w:rPr>
              <w:t>≥</w:t>
            </w:r>
            <w:r>
              <w:rPr>
                <w:rFonts w:hint="eastAsia" w:ascii="宋体" w:hAnsi="宋体" w:eastAsia="宋体" w:cs="宋体"/>
                <w:szCs w:val="21"/>
                <w:lang w:val="en-US" w:eastAsia="zh-CN"/>
              </w:rPr>
              <w:t>12h</w:t>
            </w:r>
          </w:p>
          <w:p>
            <w:pPr>
              <w:keepNext w:val="0"/>
              <w:keepLines w:val="0"/>
              <w:widowControl/>
              <w:suppressLineNumbers w:val="0"/>
              <w:jc w:val="center"/>
              <w:textAlignment w:val="auto"/>
              <w:rPr>
                <w:rFonts w:hint="eastAsia" w:ascii="宋体" w:hAnsi="宋体" w:eastAsia="宋体" w:cs="宋体"/>
                <w:bCs/>
                <w:color w:val="auto"/>
                <w:sz w:val="22"/>
              </w:rPr>
            </w:pPr>
            <w:r>
              <w:rPr>
                <w:rFonts w:hint="eastAsia" w:ascii="宋体" w:hAnsi="宋体" w:eastAsia="宋体" w:cs="宋体"/>
                <w:szCs w:val="21"/>
                <w:lang w:val="en-US" w:eastAsia="zh-CN"/>
              </w:rPr>
              <w:t>机载模块</w:t>
            </w:r>
            <w:r>
              <w:rPr>
                <w:rFonts w:hint="eastAsia" w:ascii="宋体" w:hAnsi="宋体" w:eastAsia="宋体" w:cs="宋体"/>
                <w:bCs/>
                <w:color w:val="auto"/>
                <w:sz w:val="22"/>
              </w:rPr>
              <w:t>≤</w:t>
            </w:r>
            <w:r>
              <w:rPr>
                <w:rFonts w:hint="eastAsia" w:ascii="宋体" w:hAnsi="宋体" w:eastAsia="宋体" w:cs="宋体"/>
                <w:bCs/>
                <w:color w:val="auto"/>
                <w:sz w:val="22"/>
                <w:lang w:val="en-US" w:eastAsia="zh-CN"/>
              </w:rPr>
              <w:t>40</w:t>
            </w:r>
            <w:r>
              <w:rPr>
                <w:rFonts w:hint="eastAsia" w:ascii="宋体" w:hAnsi="宋体" w:eastAsia="宋体" w:cs="宋体"/>
                <w:bCs/>
                <w:color w:val="auto"/>
                <w:sz w:val="22"/>
              </w:rPr>
              <w:t>0g</w:t>
            </w:r>
          </w:p>
          <w:p>
            <w:pPr>
              <w:keepNext w:val="0"/>
              <w:keepLines w:val="0"/>
              <w:widowControl/>
              <w:suppressLineNumbers w:val="0"/>
              <w:jc w:val="center"/>
              <w:textAlignment w:val="auto"/>
              <w:rPr>
                <w:rFonts w:hint="default" w:ascii="宋体" w:hAnsi="宋体" w:eastAsia="宋体" w:cs="宋体"/>
                <w:kern w:val="2"/>
                <w:sz w:val="21"/>
                <w:szCs w:val="21"/>
                <w:lang w:val="en-US" w:eastAsia="zh-CN" w:bidi="ar-SA"/>
              </w:rPr>
            </w:pPr>
            <w:r>
              <w:rPr>
                <w:rFonts w:hint="eastAsia" w:ascii="宋体" w:hAnsi="宋体" w:eastAsia="宋体" w:cs="宋体"/>
                <w:bCs/>
                <w:color w:val="auto"/>
                <w:sz w:val="22"/>
                <w:lang w:val="en-US" w:eastAsia="zh-CN"/>
              </w:rPr>
              <w:t>无人机载重能力</w:t>
            </w:r>
            <w:r>
              <w:rPr>
                <w:rFonts w:hint="eastAsia" w:ascii="宋体" w:hAnsi="宋体" w:eastAsia="宋体" w:cs="宋体"/>
                <w:szCs w:val="21"/>
              </w:rPr>
              <w:t>≥</w:t>
            </w:r>
            <w:r>
              <w:rPr>
                <w:rFonts w:hint="eastAsia" w:ascii="宋体" w:hAnsi="宋体" w:eastAsia="宋体" w:cs="宋体"/>
                <w:szCs w:val="21"/>
                <w:lang w:val="en-US" w:eastAsia="zh-CN"/>
              </w:rPr>
              <w:t>10kg</w:t>
            </w:r>
          </w:p>
        </w:tc>
        <w:tc>
          <w:tcPr>
            <w:tcW w:w="989" w:type="dxa"/>
            <w:vAlign w:val="center"/>
          </w:tcPr>
          <w:p>
            <w:pPr>
              <w:widowControl/>
              <w:jc w:val="center"/>
              <w:rPr>
                <w:rFonts w:hint="eastAsia" w:ascii="宋体" w:hAnsi="宋体" w:eastAsia="宋体" w:cs="宋体"/>
                <w:kern w:val="0"/>
                <w:sz w:val="21"/>
                <w:szCs w:val="21"/>
                <w:lang w:val="en-US" w:eastAsia="zh-CN" w:bidi="ar-SA"/>
              </w:rPr>
            </w:pPr>
          </w:p>
        </w:tc>
        <w:tc>
          <w:tcPr>
            <w:tcW w:w="1649" w:type="dxa"/>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bl>
    <w:p>
      <w:pPr>
        <w:jc w:val="left"/>
        <w:rPr>
          <w:rFonts w:hint="eastAsia" w:ascii="宋体" w:hAnsi="宋体" w:eastAsia="宋体" w:cs="宋体"/>
          <w:szCs w:val="21"/>
        </w:rPr>
      </w:pPr>
    </w:p>
    <w:p>
      <w:pPr>
        <w:jc w:val="center"/>
        <w:rPr>
          <w:rFonts w:hint="eastAsia" w:ascii="宋体" w:hAnsi="宋体" w:eastAsia="宋体" w:cs="宋体"/>
          <w:szCs w:val="21"/>
        </w:rPr>
      </w:pPr>
      <w:r>
        <w:rPr>
          <w:rFonts w:hint="eastAsia" w:ascii="宋体" w:hAnsi="宋体" w:eastAsia="宋体" w:cs="宋体"/>
          <w:szCs w:val="21"/>
          <w:lang w:eastAsia="zh-CN"/>
        </w:rPr>
        <w:t>表</w:t>
      </w:r>
      <w:r>
        <w:rPr>
          <w:rFonts w:hint="eastAsia" w:ascii="宋体" w:hAnsi="宋体" w:cs="宋体"/>
          <w:szCs w:val="21"/>
          <w:lang w:val="en-US" w:eastAsia="zh-CN"/>
        </w:rPr>
        <w:t>5</w:t>
      </w:r>
      <w:r>
        <w:rPr>
          <w:rFonts w:hint="eastAsia" w:ascii="宋体" w:hAnsi="宋体" w:eastAsia="宋体" w:cs="宋体"/>
          <w:szCs w:val="21"/>
        </w:rPr>
        <w:t>.</w:t>
      </w:r>
      <w:r>
        <w:rPr>
          <w:rFonts w:hint="eastAsia" w:ascii="宋体" w:hAnsi="宋体" w:cs="宋体"/>
          <w:szCs w:val="21"/>
          <w:lang w:val="en-US" w:eastAsia="zh-CN"/>
        </w:rPr>
        <w:t>4</w:t>
      </w:r>
      <w:r>
        <w:rPr>
          <w:rFonts w:hint="eastAsia" w:ascii="宋体" w:hAnsi="宋体" w:eastAsia="宋体" w:cs="宋体"/>
          <w:szCs w:val="21"/>
        </w:rPr>
        <w:t xml:space="preserve">   </w:t>
      </w:r>
      <w:r>
        <w:rPr>
          <w:rFonts w:hint="eastAsia" w:ascii="宋体" w:hAnsi="宋体" w:cs="宋体"/>
          <w:szCs w:val="21"/>
          <w:lang w:val="en-US" w:eastAsia="zh-CN"/>
        </w:rPr>
        <w:t>机场安装运维模块</w:t>
      </w:r>
      <w:r>
        <w:rPr>
          <w:rFonts w:hint="eastAsia" w:ascii="宋体" w:hAnsi="宋体" w:eastAsia="宋体" w:cs="宋体"/>
          <w:szCs w:val="21"/>
        </w:rPr>
        <w:t xml:space="preserve">技术参数和性能要求响应表（投标方填写） </w:t>
      </w:r>
    </w:p>
    <w:tbl>
      <w:tblPr>
        <w:tblStyle w:val="10"/>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820"/>
        <w:gridCol w:w="585"/>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820"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585"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1</w:t>
            </w:r>
          </w:p>
        </w:tc>
        <w:tc>
          <w:tcPr>
            <w:tcW w:w="1820" w:type="dxa"/>
            <w:vAlign w:val="center"/>
          </w:tcPr>
          <w:p>
            <w:pPr>
              <w:keepNext w:val="0"/>
              <w:keepLines w:val="0"/>
              <w:widowControl/>
              <w:suppressLineNumbers w:val="0"/>
              <w:jc w:val="center"/>
              <w:textAlignment w:val="auto"/>
              <w:rPr>
                <w:rFonts w:hint="default" w:ascii="宋体" w:hAnsi="宋体" w:eastAsia="宋体" w:cs="宋体"/>
                <w:szCs w:val="21"/>
                <w:lang w:val="en-US"/>
              </w:rPr>
            </w:pPr>
            <w:r>
              <w:rPr>
                <w:rFonts w:hint="eastAsia" w:ascii="宋体" w:hAnsi="宋体" w:cs="宋体"/>
                <w:szCs w:val="21"/>
                <w:lang w:val="en-US" w:eastAsia="zh-CN" w:bidi="ar"/>
              </w:rPr>
              <w:t>安装运维（初级）</w:t>
            </w:r>
          </w:p>
        </w:tc>
        <w:tc>
          <w:tcPr>
            <w:tcW w:w="58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default" w:ascii="宋体" w:hAnsi="宋体" w:eastAsia="宋体" w:cs="宋体"/>
                <w:sz w:val="21"/>
                <w:szCs w:val="21"/>
                <w:lang w:val="en-US" w:eastAsia="zh-CN"/>
              </w:rPr>
            </w:pPr>
            <w:r>
              <w:rPr>
                <w:rFonts w:hint="eastAsia" w:ascii="宋体" w:hAnsi="宋体" w:eastAsia="宋体"/>
                <w:sz w:val="21"/>
                <w:szCs w:val="21"/>
                <w:lang w:val="en-US" w:eastAsia="zh-CN"/>
              </w:rPr>
              <w:t>含</w:t>
            </w:r>
            <w:r>
              <w:rPr>
                <w:rFonts w:hint="eastAsia" w:ascii="宋体" w:hAnsi="宋体" w:eastAsia="宋体"/>
                <w:sz w:val="21"/>
                <w:szCs w:val="21"/>
              </w:rPr>
              <w:t>机场选址、安装调试等</w:t>
            </w:r>
            <w:r>
              <w:rPr>
                <w:rFonts w:hint="eastAsia" w:ascii="宋体" w:hAnsi="宋体" w:eastAsia="宋体"/>
                <w:sz w:val="21"/>
                <w:szCs w:val="21"/>
                <w:lang w:eastAsia="zh-CN"/>
              </w:rPr>
              <w:t>。</w:t>
            </w:r>
            <w:r>
              <w:rPr>
                <w:rFonts w:hint="eastAsia" w:ascii="宋体" w:hAnsi="宋体" w:eastAsia="宋体"/>
                <w:sz w:val="21"/>
                <w:szCs w:val="21"/>
                <w:lang w:val="en-US" w:eastAsia="zh-CN"/>
              </w:rPr>
              <w:t>选址与安装要确保机场正常使用。</w:t>
            </w:r>
          </w:p>
        </w:tc>
        <w:tc>
          <w:tcPr>
            <w:tcW w:w="989" w:type="dxa"/>
            <w:vAlign w:val="center"/>
          </w:tcPr>
          <w:p>
            <w:pPr>
              <w:widowControl/>
              <w:jc w:val="center"/>
              <w:rPr>
                <w:rFonts w:hint="eastAsia" w:ascii="宋体" w:hAnsi="宋体" w:eastAsia="宋体" w:cs="宋体"/>
                <w:bCs/>
                <w:kern w:val="0"/>
                <w:szCs w:val="21"/>
              </w:rPr>
            </w:pPr>
          </w:p>
        </w:tc>
        <w:tc>
          <w:tcPr>
            <w:tcW w:w="1649"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820"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安装运维（中级）</w:t>
            </w:r>
          </w:p>
        </w:tc>
        <w:tc>
          <w:tcPr>
            <w:tcW w:w="58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w:t>
            </w:r>
          </w:p>
        </w:tc>
        <w:tc>
          <w:tcPr>
            <w:tcW w:w="3116" w:type="dxa"/>
            <w:vAlign w:val="center"/>
          </w:tcPr>
          <w:p>
            <w:pPr>
              <w:keepNext w:val="0"/>
              <w:keepLines w:val="0"/>
              <w:widowControl/>
              <w:suppressLineNumbers w:val="0"/>
              <w:jc w:val="center"/>
              <w:textAlignment w:val="auto"/>
              <w:rPr>
                <w:rFonts w:hint="default" w:ascii="宋体" w:hAnsi="宋体" w:cs="宋体"/>
                <w:sz w:val="21"/>
                <w:szCs w:val="21"/>
                <w:lang w:val="en-US" w:eastAsia="zh-CN" w:bidi="ar"/>
              </w:rPr>
            </w:pPr>
            <w:r>
              <w:rPr>
                <w:rFonts w:hint="eastAsia" w:ascii="宋体" w:hAnsi="宋体" w:cs="宋体"/>
                <w:sz w:val="21"/>
                <w:szCs w:val="21"/>
                <w:lang w:val="en-US" w:eastAsia="zh-CN" w:bidi="ar"/>
              </w:rPr>
              <w:t>含选址、安装调试外，额外对机场作业的飞行策略进行优化，提高飞行效率与安全性。</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820"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安装运维（高级）</w:t>
            </w:r>
          </w:p>
        </w:tc>
        <w:tc>
          <w:tcPr>
            <w:tcW w:w="58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default" w:ascii="宋体" w:hAnsi="宋体" w:cs="宋体"/>
                <w:sz w:val="21"/>
                <w:szCs w:val="21"/>
                <w:lang w:val="en-US" w:eastAsia="zh-CN" w:bidi="ar"/>
              </w:rPr>
            </w:pPr>
            <w:r>
              <w:rPr>
                <w:rFonts w:hint="eastAsia" w:ascii="宋体" w:hAnsi="宋体" w:cs="宋体"/>
                <w:sz w:val="21"/>
                <w:szCs w:val="21"/>
                <w:lang w:val="en-US" w:eastAsia="zh-CN" w:bidi="ar"/>
              </w:rPr>
              <w:t>复杂环境下的选址、安装调试。确保在信号异常、所处环境不易安装的情况确保机场正常使用。</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1820"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35kV 变电站建模、航线规划及验证服务</w:t>
            </w:r>
          </w:p>
        </w:tc>
        <w:tc>
          <w:tcPr>
            <w:tcW w:w="585"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在招标方允许的情况下，对35kV变电站（包括开关站、串补站、升压站、降压站）内招标方要求的变压器、断路器、互感器、隔离开关、组合电器、高压开关柜、无功设备、站用交直流电源等设备及附属设施进行建模、航线规划及验证工作。</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5</w:t>
            </w:r>
          </w:p>
        </w:tc>
        <w:tc>
          <w:tcPr>
            <w:tcW w:w="1820"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110kV 变电站建模、航线规划及验证服务</w:t>
            </w:r>
          </w:p>
        </w:tc>
        <w:tc>
          <w:tcPr>
            <w:tcW w:w="58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val="en-US" w:eastAsia="zh-CN" w:bidi="ar"/>
              </w:rPr>
              <w:t>在招标方允许的情况下，对110kV变电站（包括开关站、串补站、升压站、降压站）内招标方要求的变压器、断路器、互感器、隔离开关、组合电器、高压开关柜、无功设备、站用交直流电源等设备及附属设施进行建模、航线规划及验证工作。</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6</w:t>
            </w:r>
          </w:p>
        </w:tc>
        <w:tc>
          <w:tcPr>
            <w:tcW w:w="1820" w:type="dxa"/>
            <w:vAlign w:val="center"/>
          </w:tcPr>
          <w:p>
            <w:pPr>
              <w:keepNext w:val="0"/>
              <w:keepLines w:val="0"/>
              <w:widowControl/>
              <w:suppressLineNumbers w:val="0"/>
              <w:jc w:val="center"/>
              <w:textAlignment w:val="auto"/>
              <w:rPr>
                <w:rFonts w:hint="eastAsia" w:ascii="宋体" w:hAnsi="宋体" w:cs="宋体"/>
                <w:szCs w:val="21"/>
                <w:lang w:val="en-US" w:eastAsia="zh-CN" w:bidi="ar"/>
              </w:rPr>
            </w:pPr>
            <w:r>
              <w:rPr>
                <w:rFonts w:hint="eastAsia" w:ascii="宋体" w:hAnsi="宋体" w:cs="宋体"/>
                <w:szCs w:val="21"/>
                <w:lang w:val="en-US" w:eastAsia="zh-CN" w:bidi="ar"/>
              </w:rPr>
              <w:t>220kV 变电站建模、航线规划及验证服务</w:t>
            </w:r>
          </w:p>
        </w:tc>
        <w:tc>
          <w:tcPr>
            <w:tcW w:w="58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val="en-US" w:eastAsia="zh-CN" w:bidi="ar"/>
              </w:rPr>
              <w:t>在招标方允许的情况下，对220kV变电站（包括开关站、串补站、升压站、降压站）内招标方要求的变压器、断路器、互感器、隔离开关、组合电器、高压开关柜、无功设备、站用交直流电源等设备及附属设施进行建模、航线规划及验证工作。</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lang w:eastAsia="zh-CN"/>
              </w:rPr>
            </w:pPr>
            <w:r>
              <w:rPr>
                <w:rFonts w:hint="eastAsia" w:ascii="宋体" w:hAnsi="宋体" w:cs="宋体"/>
                <w:kern w:val="0"/>
                <w:szCs w:val="21"/>
                <w:lang w:val="en-US" w:eastAsia="zh-CN"/>
              </w:rPr>
              <w:t>7</w:t>
            </w:r>
          </w:p>
        </w:tc>
        <w:tc>
          <w:tcPr>
            <w:tcW w:w="1820" w:type="dxa"/>
            <w:vAlign w:val="center"/>
          </w:tcPr>
          <w:p>
            <w:pPr>
              <w:keepNext w:val="0"/>
              <w:keepLines w:val="0"/>
              <w:widowControl/>
              <w:suppressLineNumbers w:val="0"/>
              <w:jc w:val="center"/>
              <w:textAlignment w:val="auto"/>
              <w:rPr>
                <w:rFonts w:hint="default" w:ascii="宋体" w:hAnsi="宋体" w:cs="宋体"/>
                <w:szCs w:val="21"/>
                <w:lang w:val="en-US" w:eastAsia="zh-CN" w:bidi="ar"/>
              </w:rPr>
            </w:pPr>
            <w:r>
              <w:rPr>
                <w:rFonts w:hint="eastAsia" w:ascii="宋体" w:hAnsi="宋体" w:cs="宋体"/>
                <w:szCs w:val="21"/>
                <w:lang w:val="en-US" w:eastAsia="zh-CN" w:bidi="ar"/>
              </w:rPr>
              <w:t>500kV 变电站建模、航线规划及验证服务</w:t>
            </w:r>
          </w:p>
        </w:tc>
        <w:tc>
          <w:tcPr>
            <w:tcW w:w="58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cs="宋体"/>
                <w:szCs w:val="21"/>
                <w:lang w:val="en-US" w:eastAsia="zh-CN" w:bidi="ar"/>
              </w:rPr>
              <w:t>在招标方允许的情况下，对500kV及以上电压等级变电站（包括开关站、串补站、升压站、降压站）内招标方要求的变压器、断路器、互感器、隔离开关、组合电器、高压开关柜、无功设备、站用交直流电源等设备及附属设施进行建模、航线规划及验证工作。</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bl>
    <w:p>
      <w:pPr>
        <w:jc w:val="both"/>
        <w:rPr>
          <w:rFonts w:hint="eastAsia" w:ascii="宋体" w:hAnsi="宋体" w:cs="宋体"/>
          <w:szCs w:val="21"/>
          <w:highlight w:val="yellow"/>
          <w:lang w:val="en-US" w:eastAsia="zh-CN"/>
        </w:rPr>
      </w:pPr>
      <w:r>
        <w:rPr>
          <w:rFonts w:hint="eastAsia" w:ascii="宋体" w:hAnsi="宋体" w:cs="宋体"/>
          <w:szCs w:val="21"/>
          <w:highlight w:val="yellow"/>
          <w:lang w:val="en-US" w:eastAsia="zh-CN"/>
        </w:rPr>
        <w:t>备注：带“★”的关键技术参数需提供国家级检验检测机构出具的检测报告加以佐证，并提供国家市场监督管理总局官方网站上认证的“国家级资质认定获证机构查询”截图，如无法提供，则不认定为优于响应。</w:t>
      </w:r>
    </w:p>
    <w:p>
      <w:pPr>
        <w:jc w:val="both"/>
        <w:rPr>
          <w:rFonts w:hint="default" w:ascii="宋体" w:hAnsi="宋体" w:eastAsia="宋体" w:cs="宋体"/>
          <w:szCs w:val="21"/>
          <w:highlight w:val="yellow"/>
          <w:lang w:val="en-US" w:eastAsia="zh-CN"/>
        </w:rPr>
      </w:pPr>
      <w:r>
        <w:rPr>
          <w:rFonts w:hint="eastAsia" w:ascii="宋体" w:hAnsi="宋体" w:cs="宋体"/>
          <w:szCs w:val="21"/>
          <w:highlight w:val="yellow"/>
          <w:lang w:val="en-US" w:eastAsia="zh-CN"/>
        </w:rPr>
        <w:t>非关键技术参数如优于响应，需提供国家级检验检测机构出具的检测报告加以佐证，并提供国家市场监督管理总局官方网站上认证的“国家级资质认定获证机构查询”截图，如无法提供，则不认定为优于响应。</w:t>
      </w:r>
    </w:p>
    <w:p>
      <w:pPr>
        <w:pStyle w:val="4"/>
        <w:rPr>
          <w:rFonts w:hint="eastAsia" w:ascii="宋体" w:hAnsi="宋体" w:eastAsia="宋体" w:cs="宋体"/>
          <w:sz w:val="21"/>
        </w:rPr>
      </w:pPr>
      <w:bookmarkStart w:id="17" w:name="_Toc9209"/>
      <w:bookmarkStart w:id="18" w:name="_Toc6928"/>
      <w:r>
        <w:rPr>
          <w:rFonts w:hint="eastAsia" w:ascii="宋体" w:hAnsi="宋体" w:eastAsia="宋体" w:cs="宋体"/>
          <w:sz w:val="21"/>
          <w:lang w:val="en-US" w:eastAsia="zh-CN"/>
        </w:rPr>
        <w:t>6</w:t>
      </w:r>
      <w:r>
        <w:rPr>
          <w:rFonts w:hint="eastAsia" w:ascii="宋体" w:hAnsi="宋体" w:eastAsia="宋体" w:cs="宋体"/>
          <w:sz w:val="21"/>
        </w:rPr>
        <w:t>包装和运输</w:t>
      </w:r>
      <w:bookmarkEnd w:id="16"/>
      <w:bookmarkEnd w:id="17"/>
      <w:bookmarkEnd w:id="18"/>
    </w:p>
    <w:p>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投标方必须按以下要求对设备进行包装运输，凡招标方的要求与下述不同时，按招标方的要求进行。</w:t>
      </w:r>
    </w:p>
    <w:p>
      <w:pPr>
        <w:spacing w:line="360" w:lineRule="auto"/>
        <w:ind w:left="420" w:hanging="420" w:hangingChars="200"/>
        <w:rPr>
          <w:rFonts w:hint="eastAsia" w:ascii="宋体" w:hAnsi="宋体" w:eastAsia="宋体" w:cs="宋体"/>
          <w:szCs w:val="24"/>
        </w:rPr>
      </w:pPr>
      <w:r>
        <w:rPr>
          <w:rFonts w:hint="eastAsia" w:ascii="宋体" w:hAnsi="宋体" w:cs="宋体"/>
          <w:szCs w:val="24"/>
          <w:lang w:val="en-US" w:eastAsia="zh-CN"/>
        </w:rPr>
        <w:t>6</w:t>
      </w:r>
      <w:r>
        <w:rPr>
          <w:rFonts w:hint="eastAsia" w:ascii="宋体" w:hAnsi="宋体" w:eastAsia="宋体" w:cs="宋体"/>
          <w:szCs w:val="24"/>
        </w:rPr>
        <w:t>.1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eastAsia="宋体" w:cs="宋体"/>
          <w:szCs w:val="24"/>
        </w:rPr>
      </w:pPr>
      <w:r>
        <w:rPr>
          <w:rFonts w:hint="eastAsia" w:ascii="宋体" w:hAnsi="宋体" w:cs="宋体"/>
          <w:szCs w:val="24"/>
          <w:lang w:val="en-US" w:eastAsia="zh-CN"/>
        </w:rPr>
        <w:t>6</w:t>
      </w:r>
      <w:r>
        <w:rPr>
          <w:rFonts w:hint="eastAsia" w:ascii="宋体" w:hAnsi="宋体" w:eastAsia="宋体" w:cs="宋体"/>
          <w:szCs w:val="24"/>
        </w:rPr>
        <w:t>.2 投标方对每一件非自身生产而外购的配套设备均严格执行原设备制造商推荐的运输建议，以确保设备在运输时完好如初。</w:t>
      </w:r>
    </w:p>
    <w:p>
      <w:pPr>
        <w:spacing w:line="360" w:lineRule="auto"/>
        <w:jc w:val="left"/>
        <w:rPr>
          <w:rFonts w:hint="eastAsia" w:ascii="宋体" w:hAnsi="宋体" w:eastAsia="宋体" w:cs="宋体"/>
          <w:szCs w:val="24"/>
        </w:rPr>
      </w:pPr>
      <w:r>
        <w:rPr>
          <w:rFonts w:hint="eastAsia" w:ascii="宋体" w:hAnsi="宋体" w:cs="宋体"/>
          <w:szCs w:val="24"/>
          <w:lang w:val="en-US" w:eastAsia="zh-CN"/>
        </w:rPr>
        <w:t>6</w:t>
      </w:r>
      <w:r>
        <w:rPr>
          <w:rFonts w:hint="eastAsia" w:ascii="宋体" w:hAnsi="宋体" w:eastAsia="宋体" w:cs="宋体"/>
          <w:szCs w:val="24"/>
        </w:rPr>
        <w:t>.3 投标方将包装所有供货设备，以使设备免遭污染，机械损伤和性能下降。</w:t>
      </w:r>
    </w:p>
    <w:p>
      <w:pPr>
        <w:spacing w:line="360" w:lineRule="auto"/>
        <w:ind w:left="420" w:hanging="420" w:hangingChars="200"/>
        <w:jc w:val="left"/>
        <w:rPr>
          <w:rFonts w:hint="eastAsia" w:ascii="宋体" w:hAnsi="宋体" w:eastAsia="宋体" w:cs="宋体"/>
          <w:szCs w:val="24"/>
        </w:rPr>
      </w:pPr>
      <w:r>
        <w:rPr>
          <w:rFonts w:hint="eastAsia" w:ascii="宋体" w:hAnsi="宋体" w:cs="宋体"/>
          <w:szCs w:val="24"/>
          <w:lang w:val="en-US" w:eastAsia="zh-CN"/>
        </w:rPr>
        <w:t>6</w:t>
      </w:r>
      <w:r>
        <w:rPr>
          <w:rFonts w:hint="eastAsia" w:ascii="宋体" w:hAnsi="宋体" w:eastAsia="宋体" w:cs="宋体"/>
          <w:szCs w:val="24"/>
        </w:rPr>
        <w:t>.4 所有设备分别包装、装箱、或采取其他防护措施，以避免设备在运输过程中散失、损坏或被盗。</w:t>
      </w:r>
    </w:p>
    <w:p>
      <w:pPr>
        <w:spacing w:line="360" w:lineRule="auto"/>
        <w:ind w:left="420" w:hanging="420" w:hangingChars="200"/>
        <w:jc w:val="left"/>
        <w:rPr>
          <w:rFonts w:hint="eastAsia" w:ascii="宋体" w:hAnsi="宋体" w:eastAsia="宋体" w:cs="宋体"/>
          <w:szCs w:val="24"/>
        </w:rPr>
      </w:pPr>
      <w:r>
        <w:rPr>
          <w:rFonts w:hint="eastAsia" w:ascii="宋体" w:hAnsi="宋体" w:cs="宋体"/>
          <w:szCs w:val="24"/>
          <w:lang w:val="en-US" w:eastAsia="zh-CN"/>
        </w:rPr>
        <w:t>6</w:t>
      </w:r>
      <w:r>
        <w:rPr>
          <w:rFonts w:hint="eastAsia" w:ascii="宋体" w:hAnsi="宋体" w:eastAsia="宋体" w:cs="宋体"/>
          <w:szCs w:val="24"/>
        </w:rPr>
        <w:t>.5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宋体" w:hAnsi="宋体" w:eastAsia="宋体" w:cs="宋体"/>
          <w:szCs w:val="24"/>
        </w:rPr>
      </w:pPr>
      <w:r>
        <w:rPr>
          <w:rFonts w:hint="eastAsia" w:ascii="宋体" w:hAnsi="宋体" w:cs="宋体"/>
          <w:szCs w:val="24"/>
          <w:lang w:val="en-US" w:eastAsia="zh-CN"/>
        </w:rPr>
        <w:t>6</w:t>
      </w:r>
      <w:r>
        <w:rPr>
          <w:rFonts w:hint="eastAsia" w:ascii="宋体" w:hAnsi="宋体" w:eastAsia="宋体" w:cs="宋体"/>
          <w:szCs w:val="24"/>
        </w:rPr>
        <w:t>.6 从投标方到用户方指定的目的地的运输由投标方负责。</w:t>
      </w:r>
    </w:p>
    <w:p>
      <w:pPr>
        <w:spacing w:line="360" w:lineRule="auto"/>
        <w:ind w:left="420" w:hanging="420" w:hangingChars="200"/>
        <w:jc w:val="left"/>
        <w:rPr>
          <w:rFonts w:hint="eastAsia" w:ascii="宋体" w:hAnsi="宋体" w:eastAsia="宋体" w:cs="宋体"/>
          <w:szCs w:val="24"/>
        </w:rPr>
      </w:pPr>
      <w:r>
        <w:rPr>
          <w:rFonts w:hint="eastAsia" w:ascii="宋体" w:hAnsi="宋体" w:cs="宋体"/>
          <w:szCs w:val="24"/>
          <w:lang w:val="en-US" w:eastAsia="zh-CN"/>
        </w:rPr>
        <w:t>6</w:t>
      </w:r>
      <w:r>
        <w:rPr>
          <w:rFonts w:hint="eastAsia" w:ascii="宋体" w:hAnsi="宋体" w:eastAsia="宋体" w:cs="宋体"/>
          <w:szCs w:val="24"/>
        </w:rPr>
        <w:t>.7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4"/>
        <w:rPr>
          <w:rFonts w:hint="eastAsia" w:ascii="宋体" w:hAnsi="宋体" w:eastAsia="宋体" w:cs="宋体"/>
          <w:sz w:val="21"/>
          <w:highlight w:val="yellow"/>
          <w:lang w:eastAsia="zh-CN"/>
        </w:rPr>
      </w:pPr>
      <w:bookmarkStart w:id="19" w:name="_Toc21123"/>
      <w:bookmarkStart w:id="20" w:name="_Toc12510"/>
      <w:bookmarkStart w:id="21" w:name="_Toc729"/>
      <w:r>
        <w:rPr>
          <w:rFonts w:hint="eastAsia" w:ascii="宋体" w:hAnsi="宋体" w:eastAsia="宋体" w:cs="宋体"/>
          <w:sz w:val="21"/>
          <w:lang w:val="en-US" w:eastAsia="zh-CN"/>
        </w:rPr>
        <w:t>7</w:t>
      </w:r>
      <w:r>
        <w:rPr>
          <w:rFonts w:hint="eastAsia" w:ascii="宋体" w:hAnsi="宋体" w:eastAsia="宋体" w:cs="宋体"/>
          <w:sz w:val="21"/>
        </w:rPr>
        <w:t>技术服务</w:t>
      </w:r>
      <w:bookmarkEnd w:id="19"/>
      <w:bookmarkEnd w:id="20"/>
      <w:bookmarkEnd w:id="21"/>
    </w:p>
    <w:p>
      <w:pPr>
        <w:spacing w:line="360" w:lineRule="auto"/>
        <w:rPr>
          <w:rFonts w:hint="eastAsia" w:ascii="宋体" w:hAnsi="宋体" w:eastAsia="宋体" w:cs="宋体"/>
          <w:szCs w:val="24"/>
        </w:rPr>
      </w:pPr>
      <w:r>
        <w:rPr>
          <w:rFonts w:hint="eastAsia" w:ascii="宋体" w:hAnsi="宋体" w:cs="宋体"/>
          <w:sz w:val="24"/>
          <w:szCs w:val="24"/>
          <w:lang w:val="en-US" w:eastAsia="zh-CN"/>
        </w:rPr>
        <w:t>7</w:t>
      </w:r>
      <w:r>
        <w:rPr>
          <w:rFonts w:hint="eastAsia" w:ascii="宋体" w:hAnsi="宋体" w:eastAsia="宋体" w:cs="宋体"/>
          <w:sz w:val="24"/>
          <w:szCs w:val="24"/>
        </w:rPr>
        <w:t xml:space="preserve">.1 </w:t>
      </w:r>
      <w:r>
        <w:rPr>
          <w:rFonts w:hint="eastAsia" w:ascii="宋体" w:hAnsi="宋体" w:eastAsia="宋体" w:cs="宋体"/>
          <w:szCs w:val="24"/>
        </w:rPr>
        <w:t>技术培训</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.1.1 投标方应对用户提供技术培训和操作指导，投标方负责培训全部费用；</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.1.2 投标方提供现场培训；</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.1.3 投标方提供培训教师、培训安排、培训教材；</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.1.4 投标方应设计专门的培训课程，重点包括</w:t>
      </w:r>
      <w:r>
        <w:rPr>
          <w:rFonts w:hint="eastAsia" w:ascii="宋体" w:hAnsi="宋体" w:eastAsia="宋体" w:cs="宋体"/>
          <w:szCs w:val="24"/>
          <w:lang w:val="en-US" w:eastAsia="zh-CN"/>
        </w:rPr>
        <w:t>设备</w:t>
      </w:r>
      <w:r>
        <w:rPr>
          <w:rFonts w:hint="eastAsia" w:ascii="宋体" w:hAnsi="宋体" w:eastAsia="宋体" w:cs="宋体"/>
          <w:szCs w:val="24"/>
        </w:rPr>
        <w:t>的整体使用方法，常见故障排查处理等。培训内容包括以上但不限于此。</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.1.5 培训时间不少2天。其中，交货后在南方电网公司下属相应的分子公司进行为期2天时间的培训。</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.1.6培训人员每次不少</w:t>
      </w:r>
      <w:r>
        <w:rPr>
          <w:rFonts w:hint="eastAsia" w:ascii="宋体" w:hAnsi="宋体" w:eastAsia="宋体" w:cs="宋体"/>
          <w:szCs w:val="24"/>
          <w:lang w:val="en-US" w:eastAsia="zh-CN"/>
        </w:rPr>
        <w:t>2</w:t>
      </w:r>
      <w:r>
        <w:rPr>
          <w:rFonts w:hint="eastAsia" w:ascii="宋体" w:hAnsi="宋体" w:eastAsia="宋体" w:cs="宋体"/>
          <w:szCs w:val="24"/>
        </w:rPr>
        <w:t>人。</w:t>
      </w:r>
    </w:p>
    <w:p>
      <w:pPr>
        <w:spacing w:line="360" w:lineRule="auto"/>
        <w:rPr>
          <w:rFonts w:hint="eastAsia" w:ascii="宋体" w:hAnsi="宋体" w:eastAsia="宋体" w:cs="宋体"/>
          <w:szCs w:val="24"/>
        </w:rPr>
      </w:pPr>
      <w:bookmarkStart w:id="22" w:name="_Toc60566153"/>
      <w:r>
        <w:rPr>
          <w:rFonts w:hint="eastAsia" w:ascii="宋体" w:hAnsi="宋体" w:cs="宋体"/>
          <w:szCs w:val="24"/>
          <w:lang w:val="en-US" w:eastAsia="zh-CN"/>
        </w:rPr>
        <w:t>7</w:t>
      </w:r>
      <w:r>
        <w:rPr>
          <w:rFonts w:hint="eastAsia" w:ascii="宋体" w:hAnsi="宋体" w:eastAsia="宋体" w:cs="宋体"/>
          <w:szCs w:val="24"/>
        </w:rPr>
        <w:t>.2 现场技术服务</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.2.1投标方派出的工程师，在设备的安装接线、调试和测试期间，应负责指导。</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.2.2 投标方派出的工程师，还应负责对买方的安装及维护人员进行现场培训，培训内容包括但不限于如何启动、操作及维护设备。</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.3远程技术支持</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.3.1招标方免费提供远程技术服务，远程技术服务项目期限不受限于保修期，远程技术服务在设备报废前有效。</w:t>
      </w:r>
    </w:p>
    <w:p>
      <w:pPr>
        <w:spacing w:line="360" w:lineRule="auto"/>
        <w:rPr>
          <w:rFonts w:hint="eastAsia" w:ascii="宋体" w:hAnsi="宋体" w:eastAsia="宋体" w:cs="宋体"/>
          <w:szCs w:val="24"/>
        </w:rPr>
      </w:pPr>
      <w:r>
        <w:rPr>
          <w:rFonts w:hint="eastAsia" w:ascii="宋体" w:hAnsi="宋体" w:cs="宋体"/>
          <w:szCs w:val="24"/>
          <w:lang w:val="en-US" w:eastAsia="zh-CN"/>
        </w:rPr>
        <w:t>7</w:t>
      </w:r>
      <w:r>
        <w:rPr>
          <w:rFonts w:hint="eastAsia" w:ascii="宋体" w:hAnsi="宋体" w:eastAsia="宋体" w:cs="宋体"/>
          <w:szCs w:val="24"/>
        </w:rPr>
        <w:t>.3.2 招标方通过网络直播等方式每年组织</w:t>
      </w:r>
      <w:r>
        <w:rPr>
          <w:rFonts w:hint="eastAsia" w:ascii="宋体" w:hAnsi="宋体" w:eastAsia="宋体" w:cs="宋体"/>
          <w:szCs w:val="24"/>
          <w:lang w:val="en-US" w:eastAsia="zh-CN"/>
        </w:rPr>
        <w:t>1</w:t>
      </w:r>
      <w:r>
        <w:rPr>
          <w:rFonts w:hint="eastAsia" w:ascii="宋体" w:hAnsi="宋体" w:eastAsia="宋体" w:cs="宋体"/>
          <w:szCs w:val="24"/>
        </w:rPr>
        <w:t>次</w:t>
      </w:r>
      <w:r>
        <w:rPr>
          <w:rFonts w:hint="eastAsia" w:ascii="宋体" w:hAnsi="宋体" w:eastAsia="宋体" w:cs="宋体"/>
          <w:szCs w:val="24"/>
          <w:lang w:val="en-US" w:eastAsia="zh-CN"/>
        </w:rPr>
        <w:t>设备</w:t>
      </w:r>
      <w:r>
        <w:rPr>
          <w:rFonts w:hint="eastAsia" w:ascii="宋体" w:hAnsi="宋体" w:eastAsia="宋体" w:cs="宋体"/>
          <w:szCs w:val="24"/>
        </w:rPr>
        <w:t>使用及日常维护培训课程。</w:t>
      </w:r>
    </w:p>
    <w:bookmarkEnd w:id="22"/>
    <w:p>
      <w:pPr>
        <w:pStyle w:val="4"/>
        <w:rPr>
          <w:rFonts w:hint="eastAsia" w:ascii="宋体" w:hAnsi="宋体" w:eastAsia="宋体" w:cs="宋体"/>
          <w:sz w:val="21"/>
        </w:rPr>
      </w:pPr>
      <w:bookmarkStart w:id="23" w:name="_Toc16989"/>
      <w:bookmarkStart w:id="24" w:name="_Toc293403381"/>
      <w:bookmarkStart w:id="25" w:name="_Toc5088"/>
      <w:bookmarkStart w:id="26" w:name="_Toc300066390"/>
      <w:bookmarkStart w:id="27" w:name="_Toc10527"/>
      <w:r>
        <w:rPr>
          <w:rFonts w:hint="eastAsia" w:ascii="宋体" w:hAnsi="宋体" w:eastAsia="宋体" w:cs="宋体"/>
          <w:sz w:val="21"/>
          <w:lang w:val="en-US" w:eastAsia="zh-CN"/>
        </w:rPr>
        <w:t>8</w:t>
      </w:r>
      <w:r>
        <w:rPr>
          <w:rFonts w:hint="eastAsia" w:ascii="宋体" w:hAnsi="宋体" w:eastAsia="宋体" w:cs="宋体"/>
          <w:sz w:val="21"/>
        </w:rPr>
        <w:t>质量保证和试验</w:t>
      </w:r>
      <w:bookmarkEnd w:id="23"/>
      <w:bookmarkEnd w:id="24"/>
      <w:bookmarkEnd w:id="25"/>
      <w:bookmarkEnd w:id="26"/>
      <w:bookmarkEnd w:id="27"/>
    </w:p>
    <w:p>
      <w:pPr>
        <w:spacing w:line="360" w:lineRule="auto"/>
        <w:rPr>
          <w:rFonts w:hint="eastAsia" w:ascii="宋体" w:hAnsi="宋体" w:eastAsia="宋体" w:cs="宋体"/>
          <w:szCs w:val="24"/>
        </w:rPr>
      </w:pPr>
      <w:r>
        <w:rPr>
          <w:rFonts w:hint="eastAsia" w:ascii="宋体" w:hAnsi="宋体" w:cs="宋体"/>
          <w:szCs w:val="24"/>
          <w:lang w:val="en-US" w:eastAsia="zh-CN"/>
        </w:rPr>
        <w:t>8</w:t>
      </w:r>
      <w:r>
        <w:rPr>
          <w:rFonts w:hint="eastAsia" w:ascii="宋体" w:hAnsi="宋体" w:eastAsia="宋体" w:cs="宋体"/>
          <w:szCs w:val="24"/>
        </w:rPr>
        <w:t>.1 投标方应确保其</w:t>
      </w:r>
      <w:r>
        <w:rPr>
          <w:rFonts w:hint="eastAsia" w:ascii="宋体" w:hAnsi="宋体" w:eastAsia="宋体" w:cs="宋体"/>
          <w:szCs w:val="21"/>
          <w:lang w:val="en-US" w:eastAsia="zh-CN"/>
        </w:rPr>
        <w:t>设备</w:t>
      </w:r>
      <w:r>
        <w:rPr>
          <w:rFonts w:hint="eastAsia" w:ascii="宋体" w:hAnsi="宋体" w:eastAsia="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eastAsia="宋体" w:cs="宋体"/>
          <w:szCs w:val="24"/>
        </w:rPr>
      </w:pPr>
      <w:r>
        <w:rPr>
          <w:rFonts w:hint="eastAsia" w:ascii="宋体" w:hAnsi="宋体" w:cs="宋体"/>
          <w:szCs w:val="24"/>
          <w:lang w:val="en-US" w:eastAsia="zh-CN"/>
        </w:rPr>
        <w:t>8</w:t>
      </w:r>
      <w:r>
        <w:rPr>
          <w:rFonts w:hint="eastAsia" w:ascii="宋体" w:hAnsi="宋体" w:eastAsia="宋体" w:cs="宋体"/>
          <w:szCs w:val="24"/>
        </w:rPr>
        <w:t>.2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eastAsia="宋体" w:cs="宋体"/>
          <w:szCs w:val="24"/>
        </w:rPr>
      </w:pPr>
      <w:r>
        <w:rPr>
          <w:rFonts w:hint="eastAsia" w:ascii="宋体" w:hAnsi="宋体" w:cs="宋体"/>
          <w:szCs w:val="24"/>
          <w:lang w:val="en-US" w:eastAsia="zh-CN"/>
        </w:rPr>
        <w:t>8</w:t>
      </w:r>
      <w:r>
        <w:rPr>
          <w:rFonts w:hint="eastAsia" w:ascii="宋体" w:hAnsi="宋体" w:eastAsia="宋体" w:cs="宋体"/>
          <w:szCs w:val="24"/>
        </w:rPr>
        <w:t>.3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4"/>
        <w:rPr>
          <w:rFonts w:hint="eastAsia" w:ascii="宋体" w:hAnsi="宋体" w:eastAsia="宋体" w:cs="宋体"/>
          <w:sz w:val="21"/>
          <w:highlight w:val="yellow"/>
        </w:rPr>
      </w:pPr>
      <w:bookmarkStart w:id="28" w:name="_Toc9435"/>
      <w:bookmarkStart w:id="29" w:name="_Toc14552"/>
      <w:bookmarkStart w:id="30" w:name="_Toc23887"/>
      <w:r>
        <w:rPr>
          <w:rFonts w:hint="eastAsia" w:ascii="宋体" w:hAnsi="宋体" w:eastAsia="宋体" w:cs="宋体"/>
          <w:sz w:val="21"/>
          <w:lang w:val="en-US" w:eastAsia="zh-CN"/>
        </w:rPr>
        <w:t>9</w:t>
      </w:r>
      <w:r>
        <w:rPr>
          <w:rFonts w:hint="eastAsia" w:ascii="宋体" w:hAnsi="宋体" w:eastAsia="宋体" w:cs="宋体"/>
          <w:sz w:val="21"/>
        </w:rPr>
        <w:t>设备验收</w:t>
      </w:r>
      <w:bookmarkEnd w:id="28"/>
      <w:bookmarkEnd w:id="29"/>
      <w:bookmarkEnd w:id="30"/>
    </w:p>
    <w:p>
      <w:pPr>
        <w:spacing w:line="360" w:lineRule="auto"/>
        <w:jc w:val="left"/>
        <w:rPr>
          <w:rFonts w:hint="eastAsia" w:ascii="宋体" w:hAnsi="宋体" w:eastAsia="宋体" w:cs="宋体"/>
          <w:szCs w:val="24"/>
        </w:rPr>
      </w:pPr>
      <w:r>
        <w:rPr>
          <w:rFonts w:hint="eastAsia" w:ascii="宋体" w:hAnsi="宋体" w:cs="宋体"/>
          <w:szCs w:val="24"/>
          <w:lang w:val="en-US" w:eastAsia="zh-CN"/>
        </w:rPr>
        <w:t>9</w:t>
      </w:r>
      <w:r>
        <w:rPr>
          <w:rFonts w:hint="eastAsia" w:ascii="宋体" w:hAnsi="宋体" w:eastAsia="宋体" w:cs="宋体"/>
          <w:szCs w:val="24"/>
        </w:rPr>
        <w:t>.1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eastAsia="宋体" w:cs="宋体"/>
          <w:szCs w:val="24"/>
        </w:rPr>
      </w:pPr>
      <w:r>
        <w:rPr>
          <w:rFonts w:hint="eastAsia" w:ascii="宋体" w:hAnsi="宋体" w:cs="宋体"/>
          <w:szCs w:val="24"/>
          <w:lang w:val="en-US" w:eastAsia="zh-CN"/>
        </w:rPr>
        <w:t>9</w:t>
      </w:r>
      <w:r>
        <w:rPr>
          <w:rFonts w:hint="eastAsia" w:ascii="宋体" w:hAnsi="宋体" w:eastAsia="宋体" w:cs="宋体"/>
          <w:szCs w:val="24"/>
        </w:rPr>
        <w:t>.1.1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szCs w:val="24"/>
        </w:rPr>
      </w:pPr>
      <w:r>
        <w:rPr>
          <w:rFonts w:hint="eastAsia" w:ascii="宋体" w:hAnsi="宋体" w:cs="宋体"/>
          <w:szCs w:val="24"/>
          <w:lang w:val="en-US" w:eastAsia="zh-CN"/>
        </w:rPr>
        <w:t>9</w:t>
      </w:r>
      <w:r>
        <w:rPr>
          <w:rFonts w:hint="eastAsia" w:ascii="宋体" w:hAnsi="宋体" w:eastAsia="宋体" w:cs="宋体"/>
          <w:szCs w:val="24"/>
        </w:rPr>
        <w:t>.1.2 应包括但不限于满足确保设备正常运行所需的操作及维护有关的全套技术文件。</w:t>
      </w:r>
    </w:p>
    <w:p>
      <w:pPr>
        <w:spacing w:line="360" w:lineRule="auto"/>
        <w:jc w:val="left"/>
        <w:rPr>
          <w:rFonts w:hint="eastAsia" w:ascii="宋体" w:hAnsi="宋体" w:eastAsia="宋体" w:cs="宋体"/>
          <w:szCs w:val="24"/>
        </w:rPr>
      </w:pPr>
      <w:r>
        <w:rPr>
          <w:rFonts w:hint="eastAsia" w:ascii="宋体" w:hAnsi="宋体" w:cs="宋体"/>
          <w:szCs w:val="24"/>
          <w:lang w:val="en-US" w:eastAsia="zh-CN"/>
        </w:rPr>
        <w:t>9</w:t>
      </w:r>
      <w:r>
        <w:rPr>
          <w:rFonts w:hint="eastAsia" w:ascii="宋体" w:hAnsi="宋体" w:eastAsia="宋体" w:cs="宋体"/>
          <w:szCs w:val="24"/>
        </w:rPr>
        <w:t>.2 验收时若发现设备或附件存在由中标方造成的缺陷或不符合本技术条件要求时，中标方应无条件更换设备或附件。</w:t>
      </w:r>
    </w:p>
    <w:p>
      <w:pPr>
        <w:pStyle w:val="4"/>
        <w:rPr>
          <w:rFonts w:hint="eastAsia" w:ascii="宋体" w:hAnsi="宋体" w:eastAsia="宋体" w:cs="宋体"/>
          <w:sz w:val="21"/>
          <w:lang w:val="en-US" w:eastAsia="zh-CN"/>
        </w:rPr>
      </w:pPr>
      <w:bookmarkStart w:id="31" w:name="_Toc3626"/>
      <w:bookmarkStart w:id="32" w:name="_Toc6662"/>
      <w:bookmarkStart w:id="33" w:name="_Toc24795"/>
      <w:r>
        <w:rPr>
          <w:rFonts w:hint="eastAsia" w:ascii="宋体" w:hAnsi="宋体" w:eastAsia="宋体" w:cs="宋体"/>
          <w:sz w:val="21"/>
          <w:lang w:val="en-US" w:eastAsia="zh-CN"/>
        </w:rPr>
        <w:t>附录</w:t>
      </w:r>
      <w:bookmarkEnd w:id="31"/>
      <w:bookmarkEnd w:id="32"/>
    </w:p>
    <w:p>
      <w:pPr>
        <w:pStyle w:val="4"/>
        <w:rPr>
          <w:rFonts w:hint="eastAsia" w:ascii="宋体" w:hAnsi="宋体" w:eastAsia="宋体" w:cs="宋体"/>
          <w:b w:val="0"/>
          <w:bCs w:val="0"/>
          <w:sz w:val="21"/>
        </w:rPr>
      </w:pPr>
      <w:bookmarkStart w:id="34" w:name="_Toc15754"/>
      <w:bookmarkStart w:id="35" w:name="_Toc27437"/>
      <w:r>
        <w:rPr>
          <w:rFonts w:hint="eastAsia" w:ascii="宋体" w:hAnsi="宋体" w:eastAsia="宋体" w:cs="宋体"/>
          <w:b w:val="0"/>
          <w:bCs w:val="0"/>
          <w:sz w:val="21"/>
          <w:lang w:val="en-US" w:eastAsia="zh-CN"/>
        </w:rPr>
        <w:t>附录1</w:t>
      </w:r>
      <w:r>
        <w:rPr>
          <w:rFonts w:hint="eastAsia" w:ascii="宋体" w:hAnsi="宋体" w:eastAsia="宋体" w:cs="宋体"/>
          <w:b w:val="0"/>
          <w:bCs w:val="0"/>
          <w:sz w:val="21"/>
        </w:rPr>
        <w:t>供货范围</w:t>
      </w:r>
      <w:bookmarkEnd w:id="33"/>
      <w:bookmarkEnd w:id="34"/>
      <w:bookmarkEnd w:id="35"/>
    </w:p>
    <w:p>
      <w:pPr>
        <w:pStyle w:val="13"/>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szCs w:val="21"/>
        </w:rPr>
        <w:t>*</w:t>
      </w:r>
      <w:r>
        <w:rPr>
          <w:rFonts w:hint="eastAsia" w:ascii="宋体" w:hAnsi="宋体" w:eastAsia="宋体" w:cs="宋体"/>
          <w:b w:val="0"/>
          <w:bCs w:val="0"/>
          <w:szCs w:val="21"/>
        </w:rPr>
        <w:t>投标方提供的设备具体规格、数量见</w:t>
      </w:r>
      <w:r>
        <w:rPr>
          <w:rFonts w:hint="eastAsia" w:ascii="宋体" w:hAnsi="宋体" w:eastAsia="宋体" w:cs="宋体"/>
          <w:b w:val="0"/>
          <w:bCs w:val="0"/>
          <w:szCs w:val="21"/>
          <w:lang w:val="en-US" w:eastAsia="zh-CN"/>
        </w:rPr>
        <w:t>附表</w:t>
      </w:r>
      <w:r>
        <w:rPr>
          <w:rFonts w:hint="eastAsia" w:ascii="宋体" w:hAnsi="宋体" w:eastAsia="宋体" w:cs="宋体"/>
          <w:b w:val="0"/>
          <w:bCs w:val="0"/>
          <w:szCs w:val="21"/>
        </w:rPr>
        <w:t>1:供货范围及设备技术规格一览表。投标方应如实填写“投标方保证”栏。设备应包含出厂所配置的所有部件。</w:t>
      </w:r>
      <w:r>
        <w:rPr>
          <w:rFonts w:hint="eastAsia" w:ascii="宋体" w:hAnsi="宋体" w:eastAsia="宋体" w:cs="宋体"/>
          <w:b w:val="0"/>
          <w:bCs w:val="0"/>
          <w:szCs w:val="21"/>
          <w:lang w:val="en-US" w:eastAsia="zh-CN"/>
        </w:rPr>
        <w:t>若中标后产品因促销、优惠活动等情况导致产品降价或配置修改，投标人需同比例降价或以配置较高的方案供货。</w:t>
      </w:r>
    </w:p>
    <w:p>
      <w:pPr>
        <w:pStyle w:val="13"/>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szCs w:val="21"/>
        </w:rPr>
        <w:t>*</w:t>
      </w:r>
      <w:r>
        <w:rPr>
          <w:rFonts w:hint="eastAsia" w:ascii="宋体" w:hAnsi="宋体" w:eastAsia="宋体" w:cs="宋体"/>
          <w:b w:val="0"/>
          <w:bCs w:val="0"/>
          <w:szCs w:val="21"/>
          <w:lang w:val="en-US" w:eastAsia="zh-CN"/>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13"/>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szCs w:val="21"/>
        </w:rPr>
        <w:t>*</w:t>
      </w:r>
      <w:r>
        <w:rPr>
          <w:rFonts w:hint="eastAsia" w:ascii="宋体" w:hAnsi="宋体" w:eastAsia="宋体" w:cs="宋体"/>
          <w:b w:val="0"/>
          <w:bCs w:val="0"/>
          <w:szCs w:val="21"/>
          <w:lang w:val="en-US" w:eastAsia="zh-CN"/>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13"/>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szCs w:val="21"/>
        </w:rPr>
        <w:t>*</w:t>
      </w:r>
      <w:r>
        <w:rPr>
          <w:rFonts w:hint="eastAsia" w:ascii="宋体" w:hAnsi="宋体" w:eastAsia="宋体" w:cs="宋体"/>
          <w:b w:val="0"/>
          <w:bCs w:val="0"/>
          <w:szCs w:val="21"/>
          <w:lang w:val="en-US" w:eastAsia="zh-CN"/>
        </w:rPr>
        <w:t>投标方应根据需求情况提前准备库存产品，以应对大批次需求和紧急需求订单，确保发货及时。应标产品库存量应不少于1套。在框架有效期前一个月应一直保持库存稳定。招标方定期组织人员进行抽查，确保库存满足要求。如不符合要求，则视损失、影响情况对投标方进行履约扣分处理。</w:t>
      </w:r>
    </w:p>
    <w:p>
      <w:pPr>
        <w:pStyle w:val="13"/>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szCs w:val="21"/>
        </w:rPr>
        <w:t>*</w:t>
      </w:r>
      <w:r>
        <w:rPr>
          <w:rFonts w:hint="eastAsia" w:ascii="宋体" w:hAnsi="宋体" w:eastAsia="宋体" w:cs="宋体"/>
          <w:b w:val="0"/>
          <w:bCs w:val="0"/>
          <w:szCs w:val="21"/>
          <w:lang w:val="en-US" w:eastAsia="zh-CN"/>
        </w:rPr>
        <w:t>如投标方为产品制造方，需承担起产品质量保障职责，并针对应标产品提供无条件的技术支持工作。如投标方为集成商，则需要原厂提供相关授权，对产品质量保障及无条件的技术支持工作。</w:t>
      </w:r>
    </w:p>
    <w:p>
      <w:pPr>
        <w:pStyle w:val="13"/>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szCs w:val="21"/>
        </w:rPr>
        <w:t>*</w:t>
      </w:r>
      <w:r>
        <w:rPr>
          <w:rFonts w:hint="eastAsia" w:ascii="宋体" w:hAnsi="宋体" w:eastAsia="宋体" w:cs="宋体"/>
          <w:b w:val="0"/>
          <w:bCs w:val="0"/>
          <w:szCs w:val="21"/>
          <w:lang w:val="en-US" w:eastAsia="zh-CN"/>
        </w:rPr>
        <w:t>如招标方由于自身业务需求、战略调整或其他合理原因，需针对投标方供货范围进行调整，经协商一致后可终止投标方供货范围中所提供的任何一项或多项服务。</w:t>
      </w:r>
    </w:p>
    <w:p>
      <w:pPr>
        <w:pStyle w:val="13"/>
        <w:adjustRightInd w:val="0"/>
        <w:snapToGrid w:val="0"/>
        <w:spacing w:line="360" w:lineRule="auto"/>
        <w:rPr>
          <w:rFonts w:hint="eastAsia" w:ascii="宋体" w:hAnsi="宋体" w:eastAsia="宋体" w:cs="宋体"/>
          <w:b w:val="0"/>
          <w:bCs w:val="0"/>
          <w:szCs w:val="21"/>
          <w:highlight w:val="yellow"/>
          <w:lang w:val="en-US" w:eastAsia="zh-CN"/>
        </w:rPr>
      </w:pPr>
      <w:r>
        <w:rPr>
          <w:rFonts w:hint="eastAsia" w:ascii="宋体" w:hAnsi="宋体" w:eastAsia="宋体"/>
          <w:szCs w:val="21"/>
          <w:highlight w:val="yellow"/>
        </w:rPr>
        <w:t>*供应商应确保产品到货验收后，免费提供维修及保养服务，与质保期时间一致。确保在质保期内，避免操作失误以外的产品故障影响作业。</w:t>
      </w:r>
    </w:p>
    <w:p>
      <w:pPr>
        <w:pStyle w:val="14"/>
        <w:rPr>
          <w:rFonts w:hint="eastAsia" w:ascii="宋体" w:hAnsi="宋体" w:eastAsia="宋体" w:cs="宋体"/>
        </w:rPr>
      </w:pPr>
      <w:r>
        <w:rPr>
          <w:rFonts w:hint="eastAsia" w:ascii="宋体" w:hAnsi="宋体" w:eastAsia="宋体" w:cs="宋体"/>
          <w:lang w:val="en-US" w:eastAsia="zh-CN"/>
        </w:rPr>
        <w:t>附表1</w:t>
      </w:r>
      <w:r>
        <w:rPr>
          <w:rFonts w:hint="eastAsia" w:ascii="宋体" w:hAnsi="宋体" w:eastAsia="宋体" w:cs="宋体"/>
          <w:szCs w:val="21"/>
        </w:rPr>
        <w:t>供货范围及设备技术规格一览表</w:t>
      </w:r>
      <w:r>
        <w:rPr>
          <w:rFonts w:hint="eastAsia" w:ascii="宋体" w:hAnsi="宋体" w:eastAsia="宋体" w:cs="宋体"/>
        </w:rPr>
        <w:t>（投标方需填写）</w:t>
      </w:r>
    </w:p>
    <w:tbl>
      <w:tblPr>
        <w:tblStyle w:val="10"/>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062"/>
        <w:gridCol w:w="1570"/>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2062" w:type="dxa"/>
            <w:vMerge w:val="restart"/>
            <w:shd w:val="clear" w:color="auto" w:fill="auto"/>
            <w:vAlign w:val="center"/>
          </w:tcPr>
          <w:p>
            <w:pPr>
              <w:widowControl/>
              <w:jc w:val="center"/>
              <w:rPr>
                <w:rFonts w:hint="eastAsia" w:ascii="宋体" w:hAnsi="宋体" w:eastAsia="宋体" w:cs="宋体"/>
                <w:kern w:val="0"/>
                <w:sz w:val="18"/>
                <w:szCs w:val="18"/>
              </w:rPr>
            </w:pPr>
            <w:bookmarkStart w:id="36" w:name="RANGE!D4"/>
            <w:r>
              <w:rPr>
                <w:rFonts w:hint="eastAsia" w:ascii="宋体" w:hAnsi="宋体" w:eastAsia="宋体" w:cs="宋体"/>
                <w:kern w:val="0"/>
                <w:sz w:val="18"/>
                <w:szCs w:val="18"/>
              </w:rPr>
              <w:t>设备名称</w:t>
            </w:r>
            <w:bookmarkEnd w:id="36"/>
          </w:p>
        </w:tc>
        <w:tc>
          <w:tcPr>
            <w:tcW w:w="3048"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招标方要求</w:t>
            </w:r>
          </w:p>
        </w:tc>
        <w:tc>
          <w:tcPr>
            <w:tcW w:w="3064"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eastAsia="宋体" w:cs="宋体"/>
                <w:kern w:val="0"/>
                <w:sz w:val="18"/>
                <w:szCs w:val="18"/>
              </w:rPr>
            </w:pPr>
          </w:p>
        </w:tc>
        <w:tc>
          <w:tcPr>
            <w:tcW w:w="2062" w:type="dxa"/>
            <w:vMerge w:val="continue"/>
            <w:vAlign w:val="center"/>
          </w:tcPr>
          <w:p>
            <w:pPr>
              <w:widowControl/>
              <w:rPr>
                <w:rFonts w:hint="eastAsia" w:ascii="宋体" w:hAnsi="宋体" w:eastAsia="宋体" w:cs="宋体"/>
                <w:kern w:val="0"/>
                <w:sz w:val="18"/>
                <w:szCs w:val="18"/>
              </w:rPr>
            </w:pPr>
          </w:p>
        </w:tc>
        <w:tc>
          <w:tcPr>
            <w:tcW w:w="1570"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705"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773"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c>
          <w:tcPr>
            <w:tcW w:w="1822"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600"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642"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w:t>
            </w:r>
          </w:p>
        </w:tc>
        <w:tc>
          <w:tcPr>
            <w:tcW w:w="2062" w:type="dxa"/>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lang w:val="en-US" w:eastAsia="zh-CN" w:bidi="ar-SA"/>
              </w:rPr>
            </w:pPr>
            <w:r>
              <w:rPr>
                <w:rFonts w:hint="eastAsia" w:ascii="宋体" w:hAnsi="宋体" w:cs="宋体"/>
                <w:i w:val="0"/>
                <w:iCs w:val="0"/>
                <w:color w:val="000000"/>
                <w:kern w:val="0"/>
                <w:sz w:val="18"/>
                <w:szCs w:val="18"/>
                <w:u w:val="none"/>
                <w:lang w:val="en-US" w:eastAsia="zh-CN" w:bidi="ar"/>
              </w:rPr>
              <w:t>紧凑无人机机场E</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0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紧凑无人机机场E保险</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中继无人机套装</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w:t>
            </w:r>
          </w:p>
        </w:tc>
        <w:tc>
          <w:tcPr>
            <w:tcW w:w="20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中继无人机套装保险</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w:t>
            </w:r>
          </w:p>
        </w:tc>
        <w:tc>
          <w:tcPr>
            <w:tcW w:w="20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遥控器</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6</w:t>
            </w:r>
          </w:p>
        </w:tc>
        <w:tc>
          <w:tcPr>
            <w:tcW w:w="20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机场用光伏板</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7</w:t>
            </w:r>
          </w:p>
        </w:tc>
        <w:tc>
          <w:tcPr>
            <w:tcW w:w="206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机场用蓄电池</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8</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信号增强模块</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lang w:val="en-US" w:eastAsia="zh-CN" w:bidi="ar-SA"/>
              </w:rPr>
            </w:pPr>
          </w:p>
        </w:tc>
        <w:tc>
          <w:tcPr>
            <w:tcW w:w="600" w:type="dxa"/>
            <w:shd w:val="clear" w:color="auto" w:fill="auto"/>
            <w:vAlign w:val="center"/>
          </w:tcPr>
          <w:p>
            <w:pPr>
              <w:widowControl/>
              <w:rPr>
                <w:rFonts w:hint="eastAsia" w:ascii="宋体" w:hAnsi="宋体" w:eastAsia="宋体" w:cs="宋体"/>
                <w:kern w:val="0"/>
                <w:sz w:val="18"/>
                <w:szCs w:val="18"/>
                <w:lang w:val="en-US" w:eastAsia="zh-CN" w:bidi="ar-SA"/>
              </w:rPr>
            </w:pPr>
          </w:p>
        </w:tc>
        <w:tc>
          <w:tcPr>
            <w:tcW w:w="642" w:type="dxa"/>
            <w:shd w:val="clear" w:color="auto" w:fill="auto"/>
            <w:vAlign w:val="center"/>
          </w:tcPr>
          <w:p>
            <w:pPr>
              <w:widowControl/>
              <w:rPr>
                <w:rFonts w:hint="eastAsia" w:ascii="宋体" w:hAnsi="宋体" w:eastAsia="宋体" w:cs="宋体"/>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9</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中继增强模块</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lang w:val="en-US" w:eastAsia="zh-CN" w:bidi="ar-SA"/>
              </w:rPr>
            </w:pPr>
          </w:p>
        </w:tc>
        <w:tc>
          <w:tcPr>
            <w:tcW w:w="600" w:type="dxa"/>
            <w:shd w:val="clear" w:color="auto" w:fill="auto"/>
            <w:vAlign w:val="center"/>
          </w:tcPr>
          <w:p>
            <w:pPr>
              <w:widowControl/>
              <w:rPr>
                <w:rFonts w:hint="eastAsia" w:ascii="宋体" w:hAnsi="宋体" w:eastAsia="宋体" w:cs="宋体"/>
                <w:kern w:val="0"/>
                <w:sz w:val="18"/>
                <w:szCs w:val="18"/>
                <w:lang w:val="en-US" w:eastAsia="zh-CN" w:bidi="ar-SA"/>
              </w:rPr>
            </w:pPr>
          </w:p>
        </w:tc>
        <w:tc>
          <w:tcPr>
            <w:tcW w:w="642" w:type="dxa"/>
            <w:shd w:val="clear" w:color="auto" w:fill="auto"/>
            <w:vAlign w:val="center"/>
          </w:tcPr>
          <w:p>
            <w:pPr>
              <w:widowControl/>
              <w:rPr>
                <w:rFonts w:hint="eastAsia" w:ascii="宋体" w:hAnsi="宋体" w:eastAsia="宋体" w:cs="宋体"/>
                <w:kern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避障雷达</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11</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勘灾补能模块</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lang w:val="en-US" w:eastAsia="zh-CN" w:bidi="ar-SA"/>
              </w:rPr>
            </w:pPr>
            <w:r>
              <w:rPr>
                <w:rFonts w:hint="eastAsia" w:ascii="宋体" w:hAnsi="宋体" w:cs="宋体"/>
                <w:color w:val="auto"/>
                <w:kern w:val="2"/>
                <w:sz w:val="18"/>
                <w:szCs w:val="18"/>
                <w:lang w:val="en-US" w:eastAsia="zh-CN" w:bidi="ar-SA"/>
              </w:rPr>
              <w:t>12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勘灾补能模块无人机套装</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安装运维（初级）</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安装运维（中级）</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15</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安装运维（高级）</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lang w:val="en-US" w:eastAsia="zh-CN" w:bidi="ar-SA"/>
              </w:rPr>
            </w:pPr>
            <w:r>
              <w:rPr>
                <w:rFonts w:hint="eastAsia" w:ascii="宋体" w:hAnsi="宋体" w:cs="宋体"/>
                <w:color w:val="auto"/>
                <w:kern w:val="2"/>
                <w:sz w:val="18"/>
                <w:szCs w:val="18"/>
                <w:lang w:val="en-US" w:eastAsia="zh-CN" w:bidi="ar-SA"/>
              </w:rPr>
              <w:t>16</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35kV 变电站建模、航线规划及验证服务（可选配）</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lang w:val="en-US" w:eastAsia="zh-CN" w:bidi="ar-SA"/>
              </w:rPr>
            </w:pPr>
            <w:r>
              <w:rPr>
                <w:rFonts w:hint="eastAsia" w:ascii="宋体" w:hAnsi="宋体" w:cs="宋体"/>
                <w:color w:val="auto"/>
                <w:kern w:val="2"/>
                <w:sz w:val="18"/>
                <w:szCs w:val="18"/>
                <w:lang w:val="en-US" w:eastAsia="zh-CN" w:bidi="ar-SA"/>
              </w:rPr>
              <w:t>17</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110kV 变电站建模、航线规划及验证服务（可选配）</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18</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220kV 变电站建模、航线规划及验证服务（可选配）</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19</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500kV 变电站建模、航线规划及验证服务（可选配）</w:t>
            </w:r>
          </w:p>
        </w:tc>
        <w:tc>
          <w:tcPr>
            <w:tcW w:w="157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注：</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1、投标人供货设备必须满足本技术条件的规定。</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2、投标人必须提供各设备间连接线和接口，并负责完成整机调试安装，到货后保证设备能正常测试。</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3、投标人报价必须包括本表所列所有设备。</w:t>
            </w:r>
          </w:p>
        </w:tc>
      </w:tr>
    </w:tbl>
    <w:p>
      <w:pPr>
        <w:pStyle w:val="4"/>
        <w:rPr>
          <w:rFonts w:hint="eastAsia" w:ascii="宋体" w:hAnsi="宋体" w:eastAsia="宋体" w:cs="宋体"/>
          <w:sz w:val="21"/>
          <w:lang w:val="en-US" w:eastAsia="zh-CN"/>
        </w:rPr>
      </w:pPr>
      <w:bookmarkStart w:id="37" w:name="_Toc20752"/>
    </w:p>
    <w:p>
      <w:pPr>
        <w:pStyle w:val="4"/>
        <w:rPr>
          <w:rFonts w:hint="eastAsia" w:ascii="宋体" w:hAnsi="宋体" w:eastAsia="宋体" w:cs="宋体"/>
          <w:sz w:val="21"/>
          <w:lang w:val="en-US" w:eastAsia="zh-CN"/>
        </w:rPr>
      </w:pPr>
    </w:p>
    <w:p>
      <w:pPr>
        <w:pStyle w:val="4"/>
        <w:rPr>
          <w:rFonts w:hint="eastAsia" w:ascii="宋体" w:hAnsi="宋体" w:eastAsia="宋体" w:cs="宋体"/>
          <w:sz w:val="21"/>
          <w:lang w:val="en-US" w:eastAsia="zh-CN"/>
        </w:rPr>
      </w:pPr>
    </w:p>
    <w:p>
      <w:pPr>
        <w:pStyle w:val="4"/>
        <w:rPr>
          <w:rFonts w:hint="eastAsia" w:ascii="宋体" w:hAnsi="宋体" w:eastAsia="宋体" w:cs="宋体"/>
          <w:sz w:val="21"/>
        </w:rPr>
      </w:pPr>
      <w:bookmarkStart w:id="38" w:name="_Toc64"/>
      <w:bookmarkStart w:id="39" w:name="_Toc32517"/>
      <w:r>
        <w:rPr>
          <w:rFonts w:hint="eastAsia" w:ascii="宋体" w:hAnsi="宋体" w:eastAsia="宋体" w:cs="宋体"/>
          <w:sz w:val="21"/>
          <w:lang w:val="en-US" w:eastAsia="zh-CN"/>
        </w:rPr>
        <w:t>附录2</w:t>
      </w:r>
      <w:r>
        <w:rPr>
          <w:rFonts w:hint="eastAsia" w:ascii="宋体" w:hAnsi="宋体" w:eastAsia="宋体" w:cs="宋体"/>
          <w:sz w:val="21"/>
        </w:rPr>
        <w:t>技术差异汇总</w:t>
      </w:r>
      <w:bookmarkEnd w:id="37"/>
      <w:bookmarkEnd w:id="38"/>
      <w:bookmarkEnd w:id="39"/>
    </w:p>
    <w:p>
      <w:pPr>
        <w:spacing w:line="360" w:lineRule="auto"/>
        <w:ind w:firstLine="420" w:firstLineChars="200"/>
        <w:rPr>
          <w:rFonts w:hint="eastAsia" w:ascii="宋体" w:hAnsi="宋体" w:eastAsia="宋体" w:cs="宋体"/>
        </w:rPr>
      </w:pPr>
      <w:r>
        <w:rPr>
          <w:rFonts w:hint="eastAsia" w:ascii="宋体" w:hAnsi="宋体" w:eastAsia="宋体" w:cs="宋体"/>
        </w:rPr>
        <w:t>投标方应将所供设备与本采购标准有差异之处，无论优于或劣于本规范书要求，均汇集成此表。</w:t>
      </w:r>
    </w:p>
    <w:p>
      <w:pPr>
        <w:pStyle w:val="14"/>
        <w:rPr>
          <w:rFonts w:hint="eastAsia" w:ascii="宋体" w:hAnsi="宋体" w:eastAsia="宋体" w:cs="宋体"/>
        </w:rPr>
      </w:pPr>
      <w:r>
        <w:rPr>
          <w:rFonts w:hint="eastAsia" w:ascii="宋体" w:hAnsi="宋体" w:eastAsia="宋体" w:cs="宋体"/>
          <w:lang w:val="en-US" w:eastAsia="zh-CN"/>
        </w:rPr>
        <w:t>附表2</w:t>
      </w:r>
      <w:r>
        <w:rPr>
          <w:rFonts w:hint="eastAsia" w:ascii="宋体" w:hAnsi="宋体" w:eastAsia="宋体" w:cs="宋体"/>
        </w:rPr>
        <w:t>技术差异表（投标方需填写）</w:t>
      </w:r>
    </w:p>
    <w:tbl>
      <w:tblPr>
        <w:tblStyle w:val="10"/>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1</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2</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3</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4</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5</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6</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bl>
    <w:p>
      <w:pPr>
        <w:ind w:firstLine="210" w:firstLineChars="100"/>
        <w:jc w:val="right"/>
        <w:rPr>
          <w:rFonts w:hint="eastAsia" w:ascii="宋体" w:hAnsi="宋体" w:eastAsia="宋体" w:cs="宋体"/>
          <w:szCs w:val="21"/>
        </w:rPr>
      </w:pPr>
    </w:p>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pStyle w:val="6"/>
        <w:adjustRightInd w:val="0"/>
        <w:snapToGrid w:val="0"/>
        <w:spacing w:beforeLines="50" w:line="360" w:lineRule="auto"/>
        <w:jc w:val="right"/>
        <w:rPr>
          <w:rFonts w:hint="eastAsia" w:ascii="宋体" w:hAnsi="宋体" w:eastAsia="宋体" w:cs="宋体"/>
          <w:szCs w:val="21"/>
        </w:rPr>
      </w:pPr>
      <w:r>
        <w:rPr>
          <w:rFonts w:hint="eastAsia" w:ascii="宋体" w:hAnsi="宋体" w:eastAsia="宋体" w:cs="宋体"/>
          <w:szCs w:val="21"/>
        </w:rPr>
        <w:t>日      期：         年    月    日</w:t>
      </w:r>
    </w:p>
    <w:p>
      <w:pPr>
        <w:pStyle w:val="4"/>
        <w:rPr>
          <w:rFonts w:hint="eastAsia" w:ascii="宋体" w:hAnsi="宋体" w:eastAsia="宋体" w:cs="宋体"/>
          <w:sz w:val="21"/>
        </w:rPr>
      </w:pPr>
      <w:bookmarkStart w:id="40" w:name="_Toc6112"/>
      <w:bookmarkStart w:id="41" w:name="_Toc29430"/>
      <w:bookmarkStart w:id="42" w:name="_Toc15957"/>
      <w:r>
        <w:rPr>
          <w:rFonts w:hint="eastAsia" w:ascii="宋体" w:hAnsi="宋体" w:eastAsia="宋体" w:cs="宋体"/>
          <w:sz w:val="21"/>
          <w:lang w:val="en-US" w:eastAsia="zh-CN"/>
        </w:rPr>
        <w:t>附录3</w:t>
      </w:r>
      <w:r>
        <w:rPr>
          <w:rFonts w:hint="eastAsia" w:ascii="宋体" w:hAnsi="宋体" w:eastAsia="宋体" w:cs="宋体"/>
          <w:sz w:val="21"/>
        </w:rPr>
        <w:t>主要元器件来源</w:t>
      </w:r>
      <w:bookmarkEnd w:id="40"/>
      <w:bookmarkEnd w:id="41"/>
      <w:bookmarkEnd w:id="42"/>
    </w:p>
    <w:p>
      <w:pPr>
        <w:pStyle w:val="14"/>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default" w:ascii="宋体" w:hAnsi="宋体" w:eastAsia="宋体" w:cs="宋体"/>
          <w:color w:val="auto"/>
          <w:sz w:val="21"/>
          <w:szCs w:val="21"/>
          <w:lang w:val="en-US" w:eastAsia="zh-CN"/>
        </w:rPr>
      </w:pPr>
      <w:r>
        <w:rPr>
          <w:rFonts w:hint="eastAsia" w:ascii="宋体" w:hAnsi="宋体" w:eastAsia="宋体"/>
          <w:szCs w:val="21"/>
        </w:rPr>
        <w:t>*</w:t>
      </w:r>
      <w:r>
        <w:rPr>
          <w:rFonts w:hint="eastAsia" w:hAnsi="宋体" w:cs="宋体"/>
          <w:color w:val="auto"/>
          <w:sz w:val="21"/>
          <w:szCs w:val="21"/>
          <w:lang w:val="en-US" w:eastAsia="zh-CN"/>
        </w:rPr>
        <w:t>所有投标人需要提供主要元器件来源，制造商按附表3.1填写，集成商按附表3.2填写。</w:t>
      </w:r>
    </w:p>
    <w:p>
      <w:pPr>
        <w:pStyle w:val="14"/>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供货商</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飞行控制系统（示例）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环境感知系统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图传系统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动力系统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5</w:t>
            </w:r>
          </w:p>
        </w:tc>
        <w:tc>
          <w:tcPr>
            <w:tcW w:w="1455" w:type="dxa"/>
            <w:vAlign w:val="center"/>
          </w:tcPr>
          <w:p>
            <w:pPr>
              <w:topLinePunct/>
              <w:spacing w:before="60" w:after="60"/>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电池（示例）</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6</w:t>
            </w:r>
          </w:p>
        </w:tc>
        <w:tc>
          <w:tcPr>
            <w:tcW w:w="1455" w:type="dxa"/>
            <w:vAlign w:val="center"/>
          </w:tcPr>
          <w:p>
            <w:pPr>
              <w:topLinePunct/>
              <w:spacing w:before="60" w:after="60"/>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机场底座（示例）</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7</w:t>
            </w:r>
          </w:p>
        </w:tc>
        <w:tc>
          <w:tcPr>
            <w:tcW w:w="1455" w:type="dxa"/>
            <w:vAlign w:val="center"/>
          </w:tcPr>
          <w:p>
            <w:pPr>
              <w:topLinePunct/>
              <w:spacing w:before="60" w:after="6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bl>
    <w:p>
      <w:pPr>
        <w:pStyle w:val="14"/>
        <w:keepNext w:val="0"/>
        <w:keepLines w:val="0"/>
        <w:pageBreakBefore w:val="0"/>
        <w:widowControl/>
        <w:kinsoku/>
        <w:wordWrap/>
        <w:overflowPunct/>
        <w:topLinePunct w:val="0"/>
        <w:autoSpaceDE/>
        <w:autoSpaceDN/>
        <w:bidi w:val="0"/>
        <w:adjustRightInd/>
        <w:snapToGrid/>
        <w:spacing w:before="157" w:beforeLines="50" w:after="157" w:afterLines="50"/>
        <w:ind w:left="0" w:leftChars="0" w:right="0" w:rightChars="0" w:firstLine="420" w:firstLineChars="200"/>
        <w:jc w:val="both"/>
        <w:textAlignment w:val="auto"/>
        <w:rPr>
          <w:rFonts w:hint="default" w:ascii="宋体" w:hAnsi="宋体" w:eastAsia="宋体" w:cs="宋体"/>
          <w:color w:val="auto"/>
          <w:sz w:val="21"/>
          <w:szCs w:val="21"/>
          <w:lang w:val="en-US" w:eastAsia="zh-CN"/>
        </w:rPr>
      </w:pPr>
      <w:r>
        <w:rPr>
          <w:rFonts w:hint="eastAsia" w:ascii="宋体" w:hAnsi="宋体" w:eastAsia="宋体"/>
          <w:szCs w:val="21"/>
        </w:rPr>
        <w:t>*</w:t>
      </w:r>
      <w:r>
        <w:rPr>
          <w:rFonts w:hint="eastAsia" w:hAnsi="宋体" w:cs="宋体"/>
          <w:color w:val="auto"/>
          <w:sz w:val="21"/>
          <w:szCs w:val="21"/>
          <w:lang w:val="en-US" w:eastAsia="zh-CN"/>
        </w:rPr>
        <w:t>证明材料需附在表3.1后。</w:t>
      </w:r>
    </w:p>
    <w:p>
      <w:pPr>
        <w:pStyle w:val="14"/>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53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17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供货商</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飞行器（示例）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539" w:type="dxa"/>
            <w:vAlign w:val="center"/>
          </w:tcPr>
          <w:p>
            <w:pPr>
              <w:topLinePunct/>
              <w:spacing w:before="60" w:after="60"/>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电池（示例）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机场底座（示例）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jc w:val="left"/>
        <w:textAlignment w:val="auto"/>
        <w:rPr>
          <w:rFonts w:hint="eastAsia" w:ascii="宋体" w:hAnsi="宋体" w:cs="宋体"/>
          <w:b w:val="0"/>
          <w:bCs w:val="0"/>
          <w:color w:val="auto"/>
          <w:sz w:val="21"/>
          <w:szCs w:val="21"/>
          <w:lang w:val="en-US" w:eastAsia="zh-CN" w:bidi="ar-SA"/>
        </w:rPr>
      </w:pPr>
      <w:r>
        <w:rPr>
          <w:rFonts w:hint="eastAsia" w:ascii="宋体" w:hAnsi="宋体" w:eastAsia="宋体"/>
          <w:szCs w:val="21"/>
        </w:rPr>
        <w:t>*</w:t>
      </w:r>
      <w:r>
        <w:rPr>
          <w:rFonts w:hint="eastAsia" w:hAnsi="宋体" w:cs="宋体"/>
          <w:color w:val="auto"/>
          <w:sz w:val="21"/>
          <w:szCs w:val="21"/>
          <w:lang w:val="en-US" w:eastAsia="zh-CN"/>
        </w:rPr>
        <w:t>证明材</w:t>
      </w:r>
      <w:r>
        <w:rPr>
          <w:rFonts w:hint="eastAsia" w:ascii="宋体" w:hAnsi="宋体" w:eastAsia="宋体" w:cs="宋体"/>
          <w:color w:val="auto"/>
          <w:sz w:val="21"/>
          <w:szCs w:val="21"/>
          <w:lang w:val="en-US" w:eastAsia="zh-CN"/>
        </w:rPr>
        <w:t>料需附在表3.2后。</w:t>
      </w:r>
    </w:p>
    <w:p>
      <w:pPr>
        <w:ind w:firstLine="210" w:firstLineChars="100"/>
        <w:jc w:val="left"/>
        <w:rPr>
          <w:rFonts w:hint="eastAsia" w:ascii="宋体" w:hAnsi="宋体" w:eastAsia="宋体" w:cs="宋体"/>
          <w:szCs w:val="21"/>
        </w:rPr>
      </w:pPr>
      <w:r>
        <w:rPr>
          <w:rFonts w:hint="eastAsia"/>
          <w:lang w:val="en-US" w:eastAsia="zh-CN"/>
        </w:rPr>
        <w:t>备注：元器件清单投标人根据自身实际情况填写，示例内容仅作为参考。</w:t>
      </w:r>
    </w:p>
    <w:p>
      <w:pPr>
        <w:pStyle w:val="4"/>
        <w:rPr>
          <w:rFonts w:hint="eastAsia" w:ascii="宋体" w:hAnsi="宋体" w:eastAsia="宋体" w:cs="宋体"/>
          <w:sz w:val="21"/>
        </w:rPr>
      </w:pPr>
      <w:bookmarkStart w:id="43" w:name="_Toc30888"/>
      <w:bookmarkStart w:id="44" w:name="_Toc31460"/>
      <w:r>
        <w:rPr>
          <w:rFonts w:hint="eastAsia" w:ascii="宋体" w:hAnsi="宋体" w:eastAsia="宋体" w:cs="宋体"/>
          <w:sz w:val="21"/>
          <w:lang w:val="en-US" w:eastAsia="zh-CN"/>
        </w:rPr>
        <w:t>附录4</w:t>
      </w:r>
      <w:r>
        <w:rPr>
          <w:rFonts w:hint="eastAsia" w:ascii="宋体" w:hAnsi="宋体" w:eastAsia="宋体" w:cs="宋体"/>
          <w:sz w:val="21"/>
        </w:rPr>
        <w:t xml:space="preserve"> 备品备件、专用工具和仪器仪表供货表</w:t>
      </w:r>
      <w:bookmarkEnd w:id="43"/>
      <w:bookmarkEnd w:id="44"/>
    </w:p>
    <w:p>
      <w:pPr>
        <w:pStyle w:val="14"/>
        <w:spacing w:line="360" w:lineRule="auto"/>
        <w:ind w:firstLine="420" w:firstLineChars="200"/>
        <w:jc w:val="both"/>
        <w:rPr>
          <w:rFonts w:hint="eastAsia" w:ascii="宋体" w:hAnsi="宋体" w:eastAsia="宋体" w:cs="宋体"/>
        </w:rPr>
      </w:pPr>
      <w:r>
        <w:rPr>
          <w:rFonts w:hint="eastAsia" w:ascii="宋体" w:hAnsi="宋体" w:eastAsia="宋体" w:cs="宋体"/>
          <w:szCs w:val="21"/>
        </w:rPr>
        <w:t>投标方应向需方提供必备的备品备件、专用工具和仪器仪表清单见</w:t>
      </w:r>
      <w:r>
        <w:rPr>
          <w:rFonts w:hint="eastAsia" w:ascii="宋体" w:hAnsi="宋体" w:eastAsia="宋体" w:cs="宋体"/>
          <w:szCs w:val="21"/>
          <w:lang w:val="en-US" w:eastAsia="zh-CN"/>
        </w:rPr>
        <w:t>附表4</w:t>
      </w:r>
      <w:r>
        <w:rPr>
          <w:rFonts w:hint="eastAsia" w:ascii="宋体" w:hAnsi="宋体" w:eastAsia="宋体" w:cs="宋体"/>
          <w:szCs w:val="21"/>
        </w:rPr>
        <w:t>, 要求提供的备品备件、专用工具和仪器仪表应是新品, 与设备同型号、同工艺。</w:t>
      </w:r>
    </w:p>
    <w:p>
      <w:pPr>
        <w:pStyle w:val="14"/>
        <w:rPr>
          <w:rFonts w:hint="eastAsia" w:ascii="宋体" w:hAnsi="宋体" w:eastAsia="宋体" w:cs="宋体"/>
        </w:rPr>
      </w:pPr>
      <w:r>
        <w:rPr>
          <w:rFonts w:hint="eastAsia" w:ascii="宋体" w:hAnsi="宋体" w:eastAsia="宋体" w:cs="宋体"/>
          <w:lang w:val="en-US" w:eastAsia="zh-CN"/>
        </w:rPr>
        <w:t>附表4</w:t>
      </w:r>
      <w:r>
        <w:rPr>
          <w:rFonts w:hint="eastAsia" w:ascii="宋体" w:hAnsi="宋体" w:eastAsia="宋体" w:cs="宋体"/>
          <w:szCs w:val="21"/>
        </w:rPr>
        <w:t>必备及推荐的备品备件、专用工具和仪器仪表清单</w:t>
      </w:r>
      <w:r>
        <w:rPr>
          <w:rFonts w:hint="eastAsia" w:ascii="宋体" w:hAnsi="宋体" w:eastAsia="宋体" w:cs="宋体"/>
        </w:rPr>
        <w:t>（投标方填写）</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6"/>
              <w:jc w:val="center"/>
              <w:rPr>
                <w:rFonts w:hint="eastAsia" w:ascii="宋体" w:hAnsi="宋体" w:eastAsia="宋体" w:cs="宋体"/>
                <w:b/>
                <w:bCs/>
                <w:szCs w:val="21"/>
              </w:rPr>
            </w:pPr>
            <w:r>
              <w:rPr>
                <w:rFonts w:hint="eastAsia" w:ascii="宋体" w:hAnsi="宋体" w:eastAsia="宋体" w:cs="宋体"/>
                <w:b/>
                <w:bCs/>
                <w:szCs w:val="21"/>
              </w:rPr>
              <w:t>序号</w:t>
            </w:r>
          </w:p>
        </w:tc>
        <w:tc>
          <w:tcPr>
            <w:tcW w:w="1692" w:type="dxa"/>
            <w:vAlign w:val="center"/>
          </w:tcPr>
          <w:p>
            <w:pPr>
              <w:pStyle w:val="6"/>
              <w:jc w:val="center"/>
              <w:rPr>
                <w:rFonts w:hint="eastAsia" w:ascii="宋体" w:hAnsi="宋体" w:eastAsia="宋体" w:cs="宋体"/>
                <w:b/>
                <w:bCs/>
                <w:szCs w:val="21"/>
              </w:rPr>
            </w:pPr>
            <w:r>
              <w:rPr>
                <w:rFonts w:hint="eastAsia" w:ascii="宋体" w:hAnsi="宋体" w:eastAsia="宋体" w:cs="宋体"/>
                <w:b/>
                <w:bCs/>
                <w:szCs w:val="21"/>
              </w:rPr>
              <w:t>名称</w:t>
            </w:r>
          </w:p>
        </w:tc>
        <w:tc>
          <w:tcPr>
            <w:tcW w:w="912" w:type="dxa"/>
            <w:vAlign w:val="center"/>
          </w:tcPr>
          <w:p>
            <w:pPr>
              <w:pStyle w:val="6"/>
              <w:jc w:val="center"/>
              <w:rPr>
                <w:rFonts w:hint="eastAsia" w:ascii="宋体" w:hAnsi="宋体" w:eastAsia="宋体" w:cs="宋体"/>
                <w:b/>
                <w:bCs/>
                <w:szCs w:val="21"/>
              </w:rPr>
            </w:pPr>
            <w:r>
              <w:rPr>
                <w:rFonts w:hint="eastAsia" w:ascii="宋体" w:hAnsi="宋体" w:eastAsia="宋体" w:cs="宋体"/>
                <w:b/>
                <w:bCs/>
                <w:szCs w:val="21"/>
              </w:rPr>
              <w:t>型号及规格</w:t>
            </w:r>
          </w:p>
        </w:tc>
        <w:tc>
          <w:tcPr>
            <w:tcW w:w="1136" w:type="dxa"/>
            <w:vAlign w:val="center"/>
          </w:tcPr>
          <w:p>
            <w:pPr>
              <w:pStyle w:val="6"/>
              <w:jc w:val="center"/>
              <w:rPr>
                <w:rFonts w:hint="eastAsia" w:ascii="宋体" w:hAnsi="宋体" w:eastAsia="宋体" w:cs="宋体"/>
                <w:b/>
                <w:bCs/>
                <w:szCs w:val="21"/>
              </w:rPr>
            </w:pPr>
            <w:r>
              <w:rPr>
                <w:rFonts w:hint="eastAsia" w:ascii="宋体" w:hAnsi="宋体" w:eastAsia="宋体" w:cs="宋体"/>
                <w:b/>
                <w:bCs/>
                <w:szCs w:val="21"/>
              </w:rPr>
              <w:t>单位</w:t>
            </w:r>
          </w:p>
        </w:tc>
        <w:tc>
          <w:tcPr>
            <w:tcW w:w="817" w:type="dxa"/>
            <w:vAlign w:val="center"/>
          </w:tcPr>
          <w:p>
            <w:pPr>
              <w:pStyle w:val="6"/>
              <w:jc w:val="center"/>
              <w:rPr>
                <w:rFonts w:hint="eastAsia" w:ascii="宋体" w:hAnsi="宋体" w:eastAsia="宋体" w:cs="宋体"/>
                <w:b/>
                <w:bCs/>
                <w:szCs w:val="21"/>
              </w:rPr>
            </w:pPr>
            <w:r>
              <w:rPr>
                <w:rFonts w:hint="eastAsia" w:ascii="宋体" w:hAnsi="宋体" w:eastAsia="宋体" w:cs="宋体"/>
                <w:b/>
                <w:bCs/>
                <w:szCs w:val="21"/>
              </w:rPr>
              <w:t>数量</w:t>
            </w:r>
          </w:p>
        </w:tc>
        <w:tc>
          <w:tcPr>
            <w:tcW w:w="1382" w:type="dxa"/>
            <w:vAlign w:val="center"/>
          </w:tcPr>
          <w:p>
            <w:pPr>
              <w:pStyle w:val="6"/>
              <w:jc w:val="center"/>
              <w:rPr>
                <w:rFonts w:hint="eastAsia" w:ascii="宋体" w:hAnsi="宋体" w:eastAsia="宋体" w:cs="宋体"/>
                <w:b/>
                <w:bCs/>
                <w:szCs w:val="21"/>
              </w:rPr>
            </w:pPr>
            <w:r>
              <w:rPr>
                <w:rFonts w:hint="eastAsia" w:ascii="宋体" w:hAnsi="宋体" w:eastAsia="宋体" w:cs="宋体"/>
                <w:b/>
                <w:bCs/>
                <w:szCs w:val="21"/>
              </w:rPr>
              <w:t>使用处</w:t>
            </w:r>
          </w:p>
        </w:tc>
        <w:tc>
          <w:tcPr>
            <w:tcW w:w="974" w:type="dxa"/>
            <w:vAlign w:val="center"/>
          </w:tcPr>
          <w:p>
            <w:pPr>
              <w:pStyle w:val="6"/>
              <w:jc w:val="center"/>
              <w:rPr>
                <w:rFonts w:hint="eastAsia" w:ascii="宋体" w:hAnsi="宋体" w:eastAsia="宋体" w:cs="宋体"/>
                <w:b/>
                <w:bCs/>
                <w:szCs w:val="21"/>
              </w:rPr>
            </w:pPr>
            <w:r>
              <w:rPr>
                <w:rFonts w:hint="eastAsia" w:ascii="宋体" w:hAnsi="宋体" w:eastAsia="宋体" w:cs="宋体"/>
                <w:b/>
                <w:bCs/>
                <w:szCs w:val="21"/>
              </w:rPr>
              <w:t>制造商</w:t>
            </w:r>
          </w:p>
        </w:tc>
        <w:tc>
          <w:tcPr>
            <w:tcW w:w="996" w:type="dxa"/>
            <w:vAlign w:val="center"/>
          </w:tcPr>
          <w:p>
            <w:pPr>
              <w:pStyle w:val="6"/>
              <w:jc w:val="center"/>
              <w:rPr>
                <w:rFonts w:hint="eastAsia" w:ascii="宋体" w:hAnsi="宋体" w:eastAsia="宋体" w:cs="宋体"/>
                <w:b/>
                <w:bCs/>
                <w:szCs w:val="21"/>
              </w:rPr>
            </w:pPr>
            <w:r>
              <w:rPr>
                <w:rFonts w:hint="eastAsia" w:ascii="宋体" w:hAnsi="宋体" w:eastAsia="宋体" w:cs="宋体"/>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6"/>
              <w:jc w:val="center"/>
              <w:rPr>
                <w:rFonts w:hint="eastAsia" w:ascii="宋体" w:hAnsi="宋体" w:eastAsia="宋体" w:cs="宋体"/>
                <w:szCs w:val="21"/>
              </w:rPr>
            </w:pPr>
          </w:p>
        </w:tc>
        <w:tc>
          <w:tcPr>
            <w:tcW w:w="1692" w:type="dxa"/>
          </w:tcPr>
          <w:p>
            <w:pPr>
              <w:pStyle w:val="6"/>
              <w:jc w:val="center"/>
              <w:rPr>
                <w:rFonts w:hint="eastAsia" w:ascii="宋体" w:hAnsi="宋体" w:eastAsia="宋体" w:cs="宋体"/>
                <w:szCs w:val="21"/>
              </w:rPr>
            </w:pPr>
          </w:p>
        </w:tc>
        <w:tc>
          <w:tcPr>
            <w:tcW w:w="912" w:type="dxa"/>
          </w:tcPr>
          <w:p>
            <w:pPr>
              <w:pStyle w:val="6"/>
              <w:jc w:val="center"/>
              <w:rPr>
                <w:rFonts w:hint="eastAsia" w:ascii="宋体" w:hAnsi="宋体" w:eastAsia="宋体" w:cs="宋体"/>
                <w:szCs w:val="21"/>
              </w:rPr>
            </w:pPr>
          </w:p>
        </w:tc>
        <w:tc>
          <w:tcPr>
            <w:tcW w:w="1136" w:type="dxa"/>
          </w:tcPr>
          <w:p>
            <w:pPr>
              <w:pStyle w:val="6"/>
              <w:jc w:val="center"/>
              <w:rPr>
                <w:rFonts w:hint="eastAsia" w:ascii="宋体" w:hAnsi="宋体" w:eastAsia="宋体" w:cs="宋体"/>
                <w:szCs w:val="21"/>
              </w:rPr>
            </w:pPr>
          </w:p>
        </w:tc>
        <w:tc>
          <w:tcPr>
            <w:tcW w:w="817" w:type="dxa"/>
          </w:tcPr>
          <w:p>
            <w:pPr>
              <w:pStyle w:val="6"/>
              <w:jc w:val="center"/>
              <w:rPr>
                <w:rFonts w:hint="eastAsia" w:ascii="宋体" w:hAnsi="宋体" w:eastAsia="宋体" w:cs="宋体"/>
                <w:szCs w:val="21"/>
              </w:rPr>
            </w:pPr>
          </w:p>
        </w:tc>
        <w:tc>
          <w:tcPr>
            <w:tcW w:w="1382" w:type="dxa"/>
          </w:tcPr>
          <w:p>
            <w:pPr>
              <w:pStyle w:val="6"/>
              <w:jc w:val="center"/>
              <w:rPr>
                <w:rFonts w:hint="eastAsia" w:ascii="宋体" w:hAnsi="宋体" w:eastAsia="宋体" w:cs="宋体"/>
                <w:szCs w:val="21"/>
              </w:rPr>
            </w:pPr>
          </w:p>
        </w:tc>
        <w:tc>
          <w:tcPr>
            <w:tcW w:w="974" w:type="dxa"/>
          </w:tcPr>
          <w:p>
            <w:pPr>
              <w:pStyle w:val="6"/>
              <w:jc w:val="center"/>
              <w:rPr>
                <w:rFonts w:hint="eastAsia" w:ascii="宋体" w:hAnsi="宋体" w:eastAsia="宋体" w:cs="宋体"/>
                <w:szCs w:val="21"/>
              </w:rPr>
            </w:pPr>
          </w:p>
        </w:tc>
        <w:tc>
          <w:tcPr>
            <w:tcW w:w="996" w:type="dxa"/>
          </w:tcPr>
          <w:p>
            <w:pPr>
              <w:pStyle w:val="6"/>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6"/>
              <w:jc w:val="center"/>
              <w:rPr>
                <w:rFonts w:hint="eastAsia" w:ascii="宋体" w:hAnsi="宋体" w:eastAsia="宋体" w:cs="宋体"/>
                <w:szCs w:val="21"/>
              </w:rPr>
            </w:pPr>
          </w:p>
        </w:tc>
        <w:tc>
          <w:tcPr>
            <w:tcW w:w="1692" w:type="dxa"/>
          </w:tcPr>
          <w:p>
            <w:pPr>
              <w:pStyle w:val="6"/>
              <w:jc w:val="center"/>
              <w:rPr>
                <w:rFonts w:hint="eastAsia" w:ascii="宋体" w:hAnsi="宋体" w:eastAsia="宋体" w:cs="宋体"/>
                <w:szCs w:val="21"/>
              </w:rPr>
            </w:pPr>
          </w:p>
        </w:tc>
        <w:tc>
          <w:tcPr>
            <w:tcW w:w="912" w:type="dxa"/>
          </w:tcPr>
          <w:p>
            <w:pPr>
              <w:pStyle w:val="6"/>
              <w:jc w:val="center"/>
              <w:rPr>
                <w:rFonts w:hint="eastAsia" w:ascii="宋体" w:hAnsi="宋体" w:eastAsia="宋体" w:cs="宋体"/>
                <w:szCs w:val="21"/>
              </w:rPr>
            </w:pPr>
          </w:p>
        </w:tc>
        <w:tc>
          <w:tcPr>
            <w:tcW w:w="1136" w:type="dxa"/>
          </w:tcPr>
          <w:p>
            <w:pPr>
              <w:pStyle w:val="6"/>
              <w:jc w:val="center"/>
              <w:rPr>
                <w:rFonts w:hint="eastAsia" w:ascii="宋体" w:hAnsi="宋体" w:eastAsia="宋体" w:cs="宋体"/>
                <w:szCs w:val="21"/>
              </w:rPr>
            </w:pPr>
          </w:p>
        </w:tc>
        <w:tc>
          <w:tcPr>
            <w:tcW w:w="817" w:type="dxa"/>
          </w:tcPr>
          <w:p>
            <w:pPr>
              <w:pStyle w:val="6"/>
              <w:jc w:val="center"/>
              <w:rPr>
                <w:rFonts w:hint="eastAsia" w:ascii="宋体" w:hAnsi="宋体" w:eastAsia="宋体" w:cs="宋体"/>
                <w:szCs w:val="21"/>
              </w:rPr>
            </w:pPr>
          </w:p>
        </w:tc>
        <w:tc>
          <w:tcPr>
            <w:tcW w:w="1382" w:type="dxa"/>
          </w:tcPr>
          <w:p>
            <w:pPr>
              <w:pStyle w:val="6"/>
              <w:jc w:val="center"/>
              <w:rPr>
                <w:rFonts w:hint="eastAsia" w:ascii="宋体" w:hAnsi="宋体" w:eastAsia="宋体" w:cs="宋体"/>
                <w:szCs w:val="21"/>
              </w:rPr>
            </w:pPr>
          </w:p>
        </w:tc>
        <w:tc>
          <w:tcPr>
            <w:tcW w:w="974" w:type="dxa"/>
          </w:tcPr>
          <w:p>
            <w:pPr>
              <w:pStyle w:val="6"/>
              <w:jc w:val="center"/>
              <w:rPr>
                <w:rFonts w:hint="eastAsia" w:ascii="宋体" w:hAnsi="宋体" w:eastAsia="宋体" w:cs="宋体"/>
                <w:szCs w:val="21"/>
              </w:rPr>
            </w:pPr>
          </w:p>
        </w:tc>
        <w:tc>
          <w:tcPr>
            <w:tcW w:w="996" w:type="dxa"/>
          </w:tcPr>
          <w:p>
            <w:pPr>
              <w:pStyle w:val="6"/>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6"/>
              <w:jc w:val="center"/>
              <w:rPr>
                <w:rFonts w:hint="eastAsia" w:ascii="宋体" w:hAnsi="宋体" w:eastAsia="宋体" w:cs="宋体"/>
                <w:szCs w:val="21"/>
              </w:rPr>
            </w:pPr>
          </w:p>
        </w:tc>
        <w:tc>
          <w:tcPr>
            <w:tcW w:w="1692" w:type="dxa"/>
          </w:tcPr>
          <w:p>
            <w:pPr>
              <w:pStyle w:val="6"/>
              <w:jc w:val="center"/>
              <w:rPr>
                <w:rFonts w:hint="eastAsia" w:ascii="宋体" w:hAnsi="宋体" w:eastAsia="宋体" w:cs="宋体"/>
                <w:szCs w:val="21"/>
              </w:rPr>
            </w:pPr>
          </w:p>
        </w:tc>
        <w:tc>
          <w:tcPr>
            <w:tcW w:w="912" w:type="dxa"/>
          </w:tcPr>
          <w:p>
            <w:pPr>
              <w:pStyle w:val="6"/>
              <w:jc w:val="center"/>
              <w:rPr>
                <w:rFonts w:hint="eastAsia" w:ascii="宋体" w:hAnsi="宋体" w:eastAsia="宋体" w:cs="宋体"/>
                <w:szCs w:val="21"/>
              </w:rPr>
            </w:pPr>
          </w:p>
        </w:tc>
        <w:tc>
          <w:tcPr>
            <w:tcW w:w="1136" w:type="dxa"/>
          </w:tcPr>
          <w:p>
            <w:pPr>
              <w:pStyle w:val="6"/>
              <w:jc w:val="center"/>
              <w:rPr>
                <w:rFonts w:hint="eastAsia" w:ascii="宋体" w:hAnsi="宋体" w:eastAsia="宋体" w:cs="宋体"/>
                <w:szCs w:val="21"/>
              </w:rPr>
            </w:pPr>
          </w:p>
        </w:tc>
        <w:tc>
          <w:tcPr>
            <w:tcW w:w="817" w:type="dxa"/>
          </w:tcPr>
          <w:p>
            <w:pPr>
              <w:pStyle w:val="6"/>
              <w:jc w:val="center"/>
              <w:rPr>
                <w:rFonts w:hint="eastAsia" w:ascii="宋体" w:hAnsi="宋体" w:eastAsia="宋体" w:cs="宋体"/>
                <w:szCs w:val="21"/>
              </w:rPr>
            </w:pPr>
          </w:p>
        </w:tc>
        <w:tc>
          <w:tcPr>
            <w:tcW w:w="1382" w:type="dxa"/>
          </w:tcPr>
          <w:p>
            <w:pPr>
              <w:pStyle w:val="6"/>
              <w:jc w:val="center"/>
              <w:rPr>
                <w:rFonts w:hint="eastAsia" w:ascii="宋体" w:hAnsi="宋体" w:eastAsia="宋体" w:cs="宋体"/>
                <w:szCs w:val="21"/>
              </w:rPr>
            </w:pPr>
          </w:p>
        </w:tc>
        <w:tc>
          <w:tcPr>
            <w:tcW w:w="974" w:type="dxa"/>
          </w:tcPr>
          <w:p>
            <w:pPr>
              <w:pStyle w:val="6"/>
              <w:jc w:val="center"/>
              <w:rPr>
                <w:rFonts w:hint="eastAsia" w:ascii="宋体" w:hAnsi="宋体" w:eastAsia="宋体" w:cs="宋体"/>
                <w:szCs w:val="21"/>
              </w:rPr>
            </w:pPr>
          </w:p>
        </w:tc>
        <w:tc>
          <w:tcPr>
            <w:tcW w:w="996" w:type="dxa"/>
          </w:tcPr>
          <w:p>
            <w:pPr>
              <w:pStyle w:val="6"/>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6"/>
              <w:jc w:val="center"/>
              <w:rPr>
                <w:rFonts w:hint="eastAsia" w:ascii="宋体" w:hAnsi="宋体" w:eastAsia="宋体" w:cs="宋体"/>
                <w:szCs w:val="21"/>
              </w:rPr>
            </w:pPr>
          </w:p>
        </w:tc>
        <w:tc>
          <w:tcPr>
            <w:tcW w:w="1692" w:type="dxa"/>
          </w:tcPr>
          <w:p>
            <w:pPr>
              <w:pStyle w:val="6"/>
              <w:jc w:val="center"/>
              <w:rPr>
                <w:rFonts w:hint="eastAsia" w:ascii="宋体" w:hAnsi="宋体" w:eastAsia="宋体" w:cs="宋体"/>
                <w:szCs w:val="21"/>
              </w:rPr>
            </w:pPr>
          </w:p>
        </w:tc>
        <w:tc>
          <w:tcPr>
            <w:tcW w:w="912" w:type="dxa"/>
          </w:tcPr>
          <w:p>
            <w:pPr>
              <w:pStyle w:val="6"/>
              <w:jc w:val="center"/>
              <w:rPr>
                <w:rFonts w:hint="eastAsia" w:ascii="宋体" w:hAnsi="宋体" w:eastAsia="宋体" w:cs="宋体"/>
                <w:szCs w:val="21"/>
              </w:rPr>
            </w:pPr>
          </w:p>
        </w:tc>
        <w:tc>
          <w:tcPr>
            <w:tcW w:w="1136" w:type="dxa"/>
          </w:tcPr>
          <w:p>
            <w:pPr>
              <w:pStyle w:val="6"/>
              <w:jc w:val="center"/>
              <w:rPr>
                <w:rFonts w:hint="eastAsia" w:ascii="宋体" w:hAnsi="宋体" w:eastAsia="宋体" w:cs="宋体"/>
                <w:szCs w:val="21"/>
              </w:rPr>
            </w:pPr>
          </w:p>
        </w:tc>
        <w:tc>
          <w:tcPr>
            <w:tcW w:w="817" w:type="dxa"/>
          </w:tcPr>
          <w:p>
            <w:pPr>
              <w:pStyle w:val="6"/>
              <w:jc w:val="center"/>
              <w:rPr>
                <w:rFonts w:hint="eastAsia" w:ascii="宋体" w:hAnsi="宋体" w:eastAsia="宋体" w:cs="宋体"/>
                <w:szCs w:val="21"/>
              </w:rPr>
            </w:pPr>
          </w:p>
        </w:tc>
        <w:tc>
          <w:tcPr>
            <w:tcW w:w="1382" w:type="dxa"/>
          </w:tcPr>
          <w:p>
            <w:pPr>
              <w:pStyle w:val="6"/>
              <w:jc w:val="center"/>
              <w:rPr>
                <w:rFonts w:hint="eastAsia" w:ascii="宋体" w:hAnsi="宋体" w:eastAsia="宋体" w:cs="宋体"/>
                <w:szCs w:val="21"/>
              </w:rPr>
            </w:pPr>
          </w:p>
        </w:tc>
        <w:tc>
          <w:tcPr>
            <w:tcW w:w="974" w:type="dxa"/>
          </w:tcPr>
          <w:p>
            <w:pPr>
              <w:pStyle w:val="6"/>
              <w:jc w:val="center"/>
              <w:rPr>
                <w:rFonts w:hint="eastAsia" w:ascii="宋体" w:hAnsi="宋体" w:eastAsia="宋体" w:cs="宋体"/>
                <w:szCs w:val="21"/>
              </w:rPr>
            </w:pPr>
          </w:p>
        </w:tc>
        <w:tc>
          <w:tcPr>
            <w:tcW w:w="996" w:type="dxa"/>
          </w:tcPr>
          <w:p>
            <w:pPr>
              <w:pStyle w:val="6"/>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6"/>
              <w:jc w:val="center"/>
              <w:rPr>
                <w:rFonts w:hint="eastAsia" w:ascii="宋体" w:hAnsi="宋体" w:eastAsia="宋体" w:cs="宋体"/>
                <w:szCs w:val="21"/>
              </w:rPr>
            </w:pPr>
          </w:p>
        </w:tc>
        <w:tc>
          <w:tcPr>
            <w:tcW w:w="1692" w:type="dxa"/>
          </w:tcPr>
          <w:p>
            <w:pPr>
              <w:pStyle w:val="6"/>
              <w:jc w:val="center"/>
              <w:rPr>
                <w:rFonts w:hint="eastAsia" w:ascii="宋体" w:hAnsi="宋体" w:eastAsia="宋体" w:cs="宋体"/>
                <w:szCs w:val="21"/>
              </w:rPr>
            </w:pPr>
          </w:p>
        </w:tc>
        <w:tc>
          <w:tcPr>
            <w:tcW w:w="912" w:type="dxa"/>
          </w:tcPr>
          <w:p>
            <w:pPr>
              <w:pStyle w:val="6"/>
              <w:jc w:val="center"/>
              <w:rPr>
                <w:rFonts w:hint="eastAsia" w:ascii="宋体" w:hAnsi="宋体" w:eastAsia="宋体" w:cs="宋体"/>
                <w:szCs w:val="21"/>
              </w:rPr>
            </w:pPr>
          </w:p>
        </w:tc>
        <w:tc>
          <w:tcPr>
            <w:tcW w:w="1136" w:type="dxa"/>
          </w:tcPr>
          <w:p>
            <w:pPr>
              <w:pStyle w:val="6"/>
              <w:jc w:val="center"/>
              <w:rPr>
                <w:rFonts w:hint="eastAsia" w:ascii="宋体" w:hAnsi="宋体" w:eastAsia="宋体" w:cs="宋体"/>
                <w:szCs w:val="21"/>
              </w:rPr>
            </w:pPr>
          </w:p>
        </w:tc>
        <w:tc>
          <w:tcPr>
            <w:tcW w:w="817" w:type="dxa"/>
          </w:tcPr>
          <w:p>
            <w:pPr>
              <w:pStyle w:val="6"/>
              <w:jc w:val="center"/>
              <w:rPr>
                <w:rFonts w:hint="eastAsia" w:ascii="宋体" w:hAnsi="宋体" w:eastAsia="宋体" w:cs="宋体"/>
                <w:szCs w:val="21"/>
              </w:rPr>
            </w:pPr>
          </w:p>
        </w:tc>
        <w:tc>
          <w:tcPr>
            <w:tcW w:w="1382" w:type="dxa"/>
          </w:tcPr>
          <w:p>
            <w:pPr>
              <w:pStyle w:val="6"/>
              <w:jc w:val="center"/>
              <w:rPr>
                <w:rFonts w:hint="eastAsia" w:ascii="宋体" w:hAnsi="宋体" w:eastAsia="宋体" w:cs="宋体"/>
                <w:szCs w:val="21"/>
              </w:rPr>
            </w:pPr>
          </w:p>
        </w:tc>
        <w:tc>
          <w:tcPr>
            <w:tcW w:w="974" w:type="dxa"/>
          </w:tcPr>
          <w:p>
            <w:pPr>
              <w:pStyle w:val="6"/>
              <w:jc w:val="center"/>
              <w:rPr>
                <w:rFonts w:hint="eastAsia" w:ascii="宋体" w:hAnsi="宋体" w:eastAsia="宋体" w:cs="宋体"/>
                <w:szCs w:val="21"/>
              </w:rPr>
            </w:pPr>
          </w:p>
        </w:tc>
        <w:tc>
          <w:tcPr>
            <w:tcW w:w="996" w:type="dxa"/>
          </w:tcPr>
          <w:p>
            <w:pPr>
              <w:pStyle w:val="6"/>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6"/>
              <w:jc w:val="center"/>
              <w:rPr>
                <w:rFonts w:hint="eastAsia" w:ascii="宋体" w:hAnsi="宋体" w:eastAsia="宋体" w:cs="宋体"/>
                <w:szCs w:val="21"/>
              </w:rPr>
            </w:pPr>
          </w:p>
        </w:tc>
        <w:tc>
          <w:tcPr>
            <w:tcW w:w="1692" w:type="dxa"/>
          </w:tcPr>
          <w:p>
            <w:pPr>
              <w:pStyle w:val="6"/>
              <w:jc w:val="center"/>
              <w:rPr>
                <w:rFonts w:hint="eastAsia" w:ascii="宋体" w:hAnsi="宋体" w:eastAsia="宋体" w:cs="宋体"/>
                <w:szCs w:val="21"/>
              </w:rPr>
            </w:pPr>
          </w:p>
        </w:tc>
        <w:tc>
          <w:tcPr>
            <w:tcW w:w="912" w:type="dxa"/>
          </w:tcPr>
          <w:p>
            <w:pPr>
              <w:pStyle w:val="6"/>
              <w:jc w:val="center"/>
              <w:rPr>
                <w:rFonts w:hint="eastAsia" w:ascii="宋体" w:hAnsi="宋体" w:eastAsia="宋体" w:cs="宋体"/>
                <w:szCs w:val="21"/>
              </w:rPr>
            </w:pPr>
          </w:p>
        </w:tc>
        <w:tc>
          <w:tcPr>
            <w:tcW w:w="1136" w:type="dxa"/>
          </w:tcPr>
          <w:p>
            <w:pPr>
              <w:pStyle w:val="6"/>
              <w:jc w:val="center"/>
              <w:rPr>
                <w:rFonts w:hint="eastAsia" w:ascii="宋体" w:hAnsi="宋体" w:eastAsia="宋体" w:cs="宋体"/>
                <w:szCs w:val="21"/>
              </w:rPr>
            </w:pPr>
          </w:p>
        </w:tc>
        <w:tc>
          <w:tcPr>
            <w:tcW w:w="817" w:type="dxa"/>
          </w:tcPr>
          <w:p>
            <w:pPr>
              <w:pStyle w:val="6"/>
              <w:jc w:val="center"/>
              <w:rPr>
                <w:rFonts w:hint="eastAsia" w:ascii="宋体" w:hAnsi="宋体" w:eastAsia="宋体" w:cs="宋体"/>
                <w:szCs w:val="21"/>
              </w:rPr>
            </w:pPr>
          </w:p>
        </w:tc>
        <w:tc>
          <w:tcPr>
            <w:tcW w:w="1382" w:type="dxa"/>
          </w:tcPr>
          <w:p>
            <w:pPr>
              <w:pStyle w:val="6"/>
              <w:jc w:val="center"/>
              <w:rPr>
                <w:rFonts w:hint="eastAsia" w:ascii="宋体" w:hAnsi="宋体" w:eastAsia="宋体" w:cs="宋体"/>
                <w:szCs w:val="21"/>
              </w:rPr>
            </w:pPr>
          </w:p>
        </w:tc>
        <w:tc>
          <w:tcPr>
            <w:tcW w:w="974" w:type="dxa"/>
          </w:tcPr>
          <w:p>
            <w:pPr>
              <w:pStyle w:val="6"/>
              <w:jc w:val="center"/>
              <w:rPr>
                <w:rFonts w:hint="eastAsia" w:ascii="宋体" w:hAnsi="宋体" w:eastAsia="宋体" w:cs="宋体"/>
                <w:szCs w:val="21"/>
              </w:rPr>
            </w:pPr>
          </w:p>
        </w:tc>
        <w:tc>
          <w:tcPr>
            <w:tcW w:w="996" w:type="dxa"/>
          </w:tcPr>
          <w:p>
            <w:pPr>
              <w:pStyle w:val="6"/>
              <w:jc w:val="center"/>
              <w:rPr>
                <w:rFonts w:hint="eastAsia" w:ascii="宋体" w:hAnsi="宋体" w:eastAsia="宋体" w:cs="宋体"/>
                <w:szCs w:val="21"/>
              </w:rPr>
            </w:pPr>
          </w:p>
        </w:tc>
      </w:tr>
    </w:tbl>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jc w:val="right"/>
        <w:rPr>
          <w:rFonts w:hint="eastAsia" w:ascii="宋体" w:hAnsi="宋体" w:eastAsia="宋体" w:cs="宋体"/>
          <w:szCs w:val="21"/>
        </w:rPr>
      </w:pPr>
      <w:r>
        <w:rPr>
          <w:rFonts w:hint="eastAsia" w:ascii="宋体" w:hAnsi="宋体" w:eastAsia="宋体" w:cs="宋体"/>
          <w:szCs w:val="21"/>
        </w:rPr>
        <w:t>日      期：         年    月    日</w:t>
      </w:r>
    </w:p>
    <w:p>
      <w:pPr>
        <w:rPr>
          <w:rFonts w:hint="eastAsia" w:ascii="宋体" w:hAnsi="宋体" w:eastAsia="宋体" w:cs="宋体"/>
        </w:rPr>
      </w:pPr>
    </w:p>
    <w:p/>
    <w:sectPr>
      <w:footerReference r:id="rId4" w:type="default"/>
      <w:pgSz w:w="11906" w:h="16838"/>
      <w:pgMar w:top="1440" w:right="1440" w:bottom="144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58990"/>
    </w:sdtPr>
    <w:sdtContent>
      <w:p>
        <w:pPr>
          <w:pStyle w:val="7"/>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4NWIzYTkxMDQyMTJkMjljMGE2ZDM3MmU2NzY1YjQifQ=="/>
  </w:docVars>
  <w:rsids>
    <w:rsidRoot w:val="00000000"/>
    <w:rsid w:val="0B2A3759"/>
    <w:rsid w:val="0F7D25CB"/>
    <w:rsid w:val="135A4A4C"/>
    <w:rsid w:val="165C04E0"/>
    <w:rsid w:val="18592572"/>
    <w:rsid w:val="2C482859"/>
    <w:rsid w:val="2D38161A"/>
    <w:rsid w:val="5AE96923"/>
    <w:rsid w:val="5F1D5765"/>
    <w:rsid w:val="60A441CC"/>
    <w:rsid w:val="624137FF"/>
    <w:rsid w:val="71AE7F67"/>
    <w:rsid w:val="7604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5"/>
    <w:next w:val="1"/>
    <w:qFormat/>
    <w:uiPriority w:val="0"/>
    <w:pPr>
      <w:spacing w:before="0" w:after="0" w:line="480" w:lineRule="auto"/>
      <w:outlineLvl w:val="0"/>
    </w:pPr>
    <w:rPr>
      <w:rFonts w:asciiTheme="minorEastAsia" w:hAnsiTheme="minorEastAsia" w:eastAsiaTheme="minorEastAsia"/>
      <w:sz w:val="28"/>
      <w:szCs w:val="28"/>
    </w:rPr>
  </w:style>
  <w:style w:type="paragraph" w:styleId="5">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unhideWhenUsed/>
    <w:qFormat/>
    <w:uiPriority w:val="99"/>
    <w:pPr>
      <w:spacing w:after="120"/>
    </w:pPr>
    <w:rPr>
      <w:rFonts w:ascii="Times New Roman" w:hAnsi="Times New Roman"/>
      <w:szCs w:val="24"/>
    </w:rPr>
  </w:style>
  <w:style w:type="paragraph" w:styleId="3">
    <w:name w:val="Title"/>
    <w:basedOn w:val="1"/>
    <w:next w:val="1"/>
    <w:qFormat/>
    <w:uiPriority w:val="0"/>
    <w:pPr>
      <w:spacing w:before="240" w:after="60"/>
      <w:jc w:val="center"/>
      <w:outlineLvl w:val="0"/>
    </w:pPr>
    <w:rPr>
      <w:rFonts w:ascii="Arial" w:hAnsi="Arial"/>
      <w:b/>
      <w:sz w:val="32"/>
    </w:rPr>
  </w:style>
  <w:style w:type="paragraph" w:styleId="6">
    <w:name w:val="Plain Text"/>
    <w:basedOn w:val="1"/>
    <w:qFormat/>
    <w:uiPriority w:val="0"/>
    <w:rPr>
      <w:rFonts w:ascii="宋体" w:hAnsi="Courier New" w:cs="Courier New"/>
      <w:szCs w:val="21"/>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pPr>
      <w:spacing w:line="400" w:lineRule="exact"/>
    </w:pPr>
    <w:rPr>
      <w:b/>
      <w:sz w:val="24"/>
    </w:rPr>
  </w:style>
  <w:style w:type="paragraph" w:customStyle="1" w:styleId="12">
    <w:name w:val="正文格式"/>
    <w:basedOn w:val="1"/>
    <w:qFormat/>
    <w:uiPriority w:val="0"/>
    <w:pPr>
      <w:topLinePunct/>
      <w:ind w:firstLine="420" w:firstLineChars="200"/>
    </w:pPr>
    <w:rPr>
      <w:rFonts w:ascii="宋体" w:hAnsi="宋体"/>
      <w:bCs/>
      <w:kern w:val="0"/>
      <w:sz w:val="20"/>
      <w:szCs w:val="21"/>
    </w:rPr>
  </w:style>
  <w:style w:type="paragraph" w:customStyle="1" w:styleId="13">
    <w:name w:val="首行缩进"/>
    <w:basedOn w:val="1"/>
    <w:qFormat/>
    <w:uiPriority w:val="0"/>
    <w:pPr>
      <w:spacing w:line="300" w:lineRule="auto"/>
      <w:ind w:firstLine="420" w:firstLineChars="200"/>
    </w:pPr>
    <w:rPr>
      <w:rFonts w:ascii="Times New Roman" w:hAnsi="Times New Roman" w:eastAsia="方正书宋简体" w:cs="宋体"/>
      <w:szCs w:val="20"/>
    </w:rPr>
  </w:style>
  <w:style w:type="paragraph" w:customStyle="1" w:styleId="14">
    <w:name w:val="段"/>
    <w:qFormat/>
    <w:uiPriority w:val="0"/>
    <w:pPr>
      <w:jc w:val="center"/>
      <w:outlineLvl w:val="3"/>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1</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2025-11-18T06:53:00Z</dcterms:created>
  <dc:creator>MSI-NB</dc:creator>
  <cp:lastModifiedBy>俞汶希</cp:lastModifiedBy>
  <dcterms:modified xsi:type="dcterms:W3CDTF">2025-11-24T03:01:45Z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319033F330D143FD8343136FA60D8217</vt:lpwstr>
  </property>
</Properties>
</file>